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r>
        <w:rPr>
          <w:i/>
          <w:color w:val="5A6270"/>
          <w:sz w:val="16"/>
          <w:szCs w:val="16"/>
        </w:rPr>
        <w:t xml:space="preserve">The pattern was prepared by Syntalith (syntalith.ai/pl/polityka-ai-w-firmie-wzor). Legal status as of October 14, 2026. Information material. Have it read by your lawyer or data protection officer before accepting it.</w:t>
      </w:r>
    </w:p>
    <w:p>
      <w:pPr>
        <w:pStyle w:val="Title"/>
      </w:pPr>
      <w:r>
        <w:t xml:space="preserve">Policy on the use of artificial intelligence tools at </w:t>
      </w:r>
      <w:r>
        <w:rPr>
          <w:shd w:val="clear" w:color="auto" w:fill="DDEFD9"/>
        </w:rPr>
        <w:t xml:space="preserve">[company name]</w:t>
      </w:r>
    </w:p>
    <w:p>
      <w:r>
        <w:rPr>
          <w:color w:val="5A6270"/>
        </w:rPr>
        <w:t xml:space="preserve">Version </w:t>
      </w:r>
      <w:r>
        <w:rPr>
          <w:color w:val="5A6270"/>
          <w:shd w:val="clear" w:color="auto" w:fill="DDEFD9"/>
        </w:rPr>
        <w:t xml:space="preserve">[1.0]</w:t>
      </w:r>
      <w:r>
        <w:rPr>
          <w:color w:val="5A6270"/>
        </w:rPr>
        <w:t xml:space="preserve"> as of </w:t>
      </w:r>
      <w:r>
        <w:rPr>
          <w:color w:val="5A6270"/>
          <w:shd w:val="clear" w:color="auto" w:fill="DDEFD9"/>
        </w:rPr>
        <w:t xml:space="preserve">[date]</w:t>
      </w:r>
      <w:r>
        <w:rPr>
          <w:color w:val="5A6270"/>
        </w:rPr>
        <w:t xml:space="preserve">. Adopted by </w:t>
      </w:r>
      <w:r>
        <w:rPr>
          <w:color w:val="5A6270"/>
          <w:shd w:val="clear" w:color="auto" w:fill="DDEFD9"/>
        </w:rPr>
        <w:t xml:space="preserve">[order/resolution]</w:t>
      </w:r>
      <w:r>
        <w:rPr>
          <w:color w:val="5A6270"/>
        </w:rPr>
        <w:t xml:space="preserve"> by </w:t>
      </w:r>
      <w:r>
        <w:rPr>
          <w:color w:val="5A6270"/>
          <w:shd w:val="clear" w:color="auto" w:fill="DDEFD9"/>
        </w:rPr>
        <w:t xml:space="preserve">[management board/owner]</w:t>
      </w:r>
      <w:r>
        <w:rPr>
          <w:color w:val="5A6270"/>
        </w:rPr>
        <w:t xml:space="preserve">.</w:t>
      </w:r>
    </w:p>
    <w:p>
      <w:pPr>
        <w:pStyle w:val="Heading1"/>
      </w:pPr>
      <w:r>
        <w:t xml:space="preserve">§ 1. Purpose and scope</w:t>
      </w:r>
    </w:p>
    <w:p>
      <w:pPr>
        <w:ind w:left="360" w:hanging="360"/>
      </w:pPr>
      <w:r>
        <w:t xml:space="preserve">1. The policy sets out the rules for using artificial intelligence tools (hereinafter: AI tools) when working for </w:t>
      </w:r>
      <w:r>
        <w:rPr>
          <w:shd w:val="clear" w:color="auto" w:fill="DDEFD9"/>
        </w:rPr>
        <w:t xml:space="preserve">[company name]</w:t>
      </w:r>
      <w:r>
        <w:t xml:space="preserve">.</w:t>
      </w:r>
    </w:p>
    <w:p>
      <w:pPr>
        <w:ind w:left="360" w:hanging="360"/>
      </w:pPr>
      <w:r>
        <w:t xml:space="preserve">2. The policy applies to employees, collaborators under civil law and B2B contracts, apprentices and interns (hereinafter: people working for the company), regardless of whether they use company or private equipment.</w:t>
      </w:r>
    </w:p>
    <w:p>
      <w:pPr>
        <w:ind w:left="360" w:hanging="360"/>
      </w:pPr>
      <w:r>
        <w:t xml:space="preserve">3. An AI tool is any program or function that creates text, image, sound, code or a summary or suggests a decision, including when it is part of another program, such as an office suite, email or CRM.</w:t>
      </w:r>
    </w:p>
    <w:p>
      <w:r>
        <w:rPr>
          <w:i/>
          <w:color w:val="5A6270"/>
          <w:sz w:val="18"/>
          <w:szCs w:val="18"/>
        </w:rPr>
        <w:t xml:space="preserve">How to refill (remove before admission): Enter all the forms of cooperation you have. Point 3 also covers AI features built into the programs you already use.</w:t>
      </w:r>
    </w:p>
    <w:p>
      <w:pPr>
        <w:pStyle w:val="Heading1"/>
      </w:pPr>
      <w:r>
        <w:t xml:space="preserve">§ 2. Approved tools and accounts</w:t>
      </w:r>
    </w:p>
    <w:p>
      <w:pPr>
        <w:ind w:left="360" w:hanging="360"/>
      </w:pPr>
      <w:r>
        <w:t xml:space="preserve">1. To work for the company, we only use tools entered in the AI Tools Register (Appendix No. 1) on company accounts.</w:t>
      </w:r>
    </w:p>
    <w:p>
      <w:pPr>
        <w:ind w:left="360" w:hanging="360"/>
      </w:pPr>
      <w:r>
        <w:t xml:space="preserve">2. We do not use private accounts in AI tools, including paid ones, for company matters.</w:t>
      </w:r>
    </w:p>
    <w:p>
      <w:pPr>
        <w:ind w:left="360" w:hanging="360"/>
      </w:pPr>
      <w:r>
        <w:t xml:space="preserve">3. The new tool reports to </w:t>
      </w:r>
      <w:r>
        <w:rPr>
          <w:shd w:val="clear" w:color="auto" w:fill="DDEFD9"/>
        </w:rPr>
        <w:t xml:space="preserve">[person or address]</w:t>
      </w:r>
      <w:r>
        <w:t xml:space="preserve">. We will respond within </w:t>
      </w:r>
      <w:r>
        <w:rPr>
          <w:shd w:val="clear" w:color="auto" w:fill="DDEFD9"/>
        </w:rPr>
        <w:t xml:space="preserve">[5]</w:t>
      </w:r>
      <w:r>
        <w:t xml:space="preserve"> business days. Until the decision is made, we do not use the tool with company data.</w:t>
      </w:r>
    </w:p>
    <w:p>
      <w:pPr>
        <w:ind w:left="360" w:hanging="360"/>
      </w:pPr>
      <w:r>
        <w:t xml:space="preserve">4. The tool is entered into the register after checking: the contract with the supplier, including the data processing contract if the tool is to process personal data; settings for training models on our data; places of data processing; how to delete history.</w:t>
      </w:r>
    </w:p>
    <w:p>
      <w:r>
        <w:rPr>
          <w:i/>
          <w:color w:val="5A6270"/>
          <w:sz w:val="18"/>
          <w:szCs w:val="18"/>
        </w:rPr>
        <w:t xml:space="preserve">How to refill (remove before admission): The register is the most important part of the policy. The remaining paragraphs refer to it.</w:t>
      </w:r>
    </w:p>
    <w:p>
      <w:pPr>
        <w:pStyle w:val="Heading1"/>
      </w:pPr>
      <w:r>
        <w:t xml:space="preserve">§ 3. Data</w:t>
      </w:r>
    </w:p>
    <w:p>
      <w:pPr>
        <w:ind w:left="360" w:hanging="360"/>
      </w:pPr>
      <w:r>
        <w:t xml:space="preserve">1. We divide the data into three classes described in Annex 2: public, internal and protected.</w:t>
      </w:r>
    </w:p>
    <w:p>
      <w:pPr>
        <w:ind w:left="360" w:hanging="360"/>
      </w:pPr>
      <w:r>
        <w:t xml:space="preserve">2. Public data can be entered into any tool from the register.</w:t>
      </w:r>
    </w:p>
    <w:p>
      <w:pPr>
        <w:ind w:left="360" w:hanging="360"/>
      </w:pPr>
      <w:r>
        <w:t xml:space="preserve">3. We only enter internal data into tools from the register, on the company account.</w:t>
      </w:r>
    </w:p>
    <w:p>
      <w:pPr>
        <w:ind w:left="360" w:hanging="360"/>
      </w:pPr>
      <w:r>
        <w:t xml:space="preserve">4. We enter protected data only into tools that the register explicitly allows for a given category of data. In other cases, we remove identifying information before entering it or perform the task without AI.</w:t>
      </w:r>
    </w:p>
    <w:p>
      <w:pPr>
        <w:ind w:left="360" w:hanging="360"/>
      </w:pPr>
      <w:r>
        <w:t xml:space="preserve">5. If in doubt, we treat the data as protected and ask </w:t>
      </w:r>
      <w:r>
        <w:rPr>
          <w:shd w:val="clear" w:color="auto" w:fill="DDEFD9"/>
        </w:rPr>
        <w:t xml:space="preserve">[the person]</w:t>
      </w:r>
      <w:r>
        <w:t xml:space="preserve">.</w:t>
      </w:r>
    </w:p>
    <w:p>
      <w:r>
        <w:rPr>
          <w:i/>
          <w:color w:val="5A6270"/>
          <w:sz w:val="18"/>
          <w:szCs w:val="18"/>
        </w:rPr>
        <w:t xml:space="preserve">How to refill (remove before admission): Match the examples in Annex 2 to the industry. The accounting office will enter the data of the office's clients, the clinic will enter the medical documentation, the software house will enter the client code.</w:t>
      </w:r>
    </w:p>
    <w:p>
      <w:pPr>
        <w:pStyle w:val="Heading1"/>
      </w:pPr>
      <w:r>
        <w:t xml:space="preserve">§ 4. Performance review and accountability</w:t>
      </w:r>
    </w:p>
    <w:p>
      <w:pPr>
        <w:ind w:left="360" w:hanging="360"/>
      </w:pPr>
      <w:r>
        <w:t xml:space="preserve">1. The person who uses them is responsible for the text, code, analysis or decision prepared with the help of AI.</w:t>
      </w:r>
    </w:p>
    <w:p>
      <w:pPr>
        <w:ind w:left="360" w:hanging="360"/>
      </w:pPr>
      <w:r>
        <w:t xml:space="preserve">2. Before sending externally or using in a decision, we check the result in the source, in particular numbers, names, quotes and recipes.</w:t>
      </w:r>
    </w:p>
    <w:p>
      <w:pPr>
        <w:ind w:left="360" w:hanging="360"/>
      </w:pPr>
      <w:r>
        <w:t xml:space="preserve">3. Content for a client, office or partner, and any content that creates a company commitment, is approved by a human.</w:t>
      </w:r>
    </w:p>
    <w:p>
      <w:r>
        <w:rPr>
          <w:i/>
          <w:color w:val="5A6270"/>
          <w:sz w:val="18"/>
          <w:szCs w:val="18"/>
        </w:rPr>
        <w:t xml:space="preserve">How to refill (remove before admission): Point 1 settles most disputes after a model error. The person who benefited from the result is responsible.</w:t>
      </w:r>
    </w:p>
    <w:p>
      <w:pPr>
        <w:pStyle w:val="Heading1"/>
      </w:pPr>
      <w:r>
        <w:t xml:space="preserve">§ 5. Uses requiring consent and prohibited</w:t>
      </w:r>
    </w:p>
    <w:p>
      <w:pPr>
        <w:ind w:left="360" w:hanging="360"/>
      </w:pPr>
      <w:r>
        <w:t xml:space="preserve">1. Without the consent of </w:t>
      </w:r>
      <w:r>
        <w:rPr>
          <w:shd w:val="clear" w:color="auto" w:fill="DDEFD9"/>
        </w:rPr>
        <w:t xml:space="preserve">[the management/person]</w:t>
      </w:r>
      <w:r>
        <w:t xml:space="preserve">, we do not use AI to select and evaluate candidates and employees, make decisions about remuneration, promotion or termination of cooperation, assess the financial credibility of customers or other decisions that significantly affect people. The tool's result cannot be the sole basis for such a decision.</w:t>
      </w:r>
    </w:p>
    <w:p>
      <w:pPr>
        <w:ind w:left="360" w:hanging="360"/>
      </w:pPr>
      <w:r>
        <w:t xml:space="preserve">2. We do not use practices prohibited in Art. 5 AI Act, including systems that recognize the emotions of people in the workplace.</w:t>
      </w:r>
    </w:p>
    <w:p>
      <w:r>
        <w:rPr>
          <w:i/>
          <w:color w:val="5A6270"/>
          <w:sz w:val="18"/>
          <w:szCs w:val="18"/>
        </w:rPr>
        <w:t xml:space="preserve">How to refill (remove before admission): The AI Act classifies AI systems for recruiting and assessing employees as high risk. The obligations in Annex III apply from December 2, 2027. Such a project requires a separate analysis.</w:t>
      </w:r>
    </w:p>
    <w:p>
      <w:pPr>
        <w:pStyle w:val="Heading1"/>
      </w:pPr>
      <w:r>
        <w:t xml:space="preserve">§ 6. Tagging content and conversations with AI</w:t>
      </w:r>
    </w:p>
    <w:p>
      <w:pPr>
        <w:ind w:left="360" w:hanging="360"/>
      </w:pPr>
      <w:r>
        <w:t xml:space="preserve">1. A customer who talks to our chat or voicebot learns at the beginning of the conversation that he or she is talking to an AI system.</w:t>
      </w:r>
    </w:p>
    <w:p>
      <w:pPr>
        <w:ind w:left="360" w:hanging="360"/>
      </w:pPr>
      <w:r>
        <w:t xml:space="preserve">2. We mark an image, recording or audio generated or altered by AI that could be mistaken for real upon publication.</w:t>
      </w:r>
    </w:p>
    <w:p>
      <w:pPr>
        <w:ind w:left="360" w:hanging="360"/>
      </w:pPr>
      <w:r>
        <w:t xml:space="preserve">3. We mark a text about public affairs prepared by AI, unless it was edited by the person responsible for the content before publication.</w:t>
      </w:r>
    </w:p>
    <w:p>
      <w:r>
        <w:rPr>
          <w:i/>
          <w:color w:val="5A6270"/>
          <w:sz w:val="18"/>
          <w:szCs w:val="18"/>
        </w:rPr>
        <w:t xml:space="preserve">How to refill (remove before admission): Obligations under Art. 50 AI Act applies from August 2, 2026. If you do not have a chat for customers, leave point 1 for the future.</w:t>
      </w:r>
    </w:p>
    <w:p>
      <w:pPr>
        <w:pStyle w:val="Heading1"/>
      </w:pPr>
      <w:r>
        <w:t xml:space="preserve">§ 7. Content and image rights</w:t>
      </w:r>
    </w:p>
    <w:p>
      <w:pPr>
        <w:ind w:left="360" w:hanging="360"/>
      </w:pPr>
      <w:r>
        <w:t xml:space="preserve">1. Before publishing materials prepared with the help of AI, we check whether they do not duplicate other people's works, trademarks or people's images.</w:t>
      </w:r>
    </w:p>
    <w:p>
      <w:pPr>
        <w:ind w:left="360" w:hanging="360"/>
      </w:pPr>
      <w:r>
        <w:t xml:space="preserve">2. We do not generate the image or voice of real people without their consent.</w:t>
      </w:r>
    </w:p>
    <w:p>
      <w:pPr>
        <w:ind w:left="360" w:hanging="360"/>
      </w:pPr>
      <w:r>
        <w:t xml:space="preserve">3. We do not introduce materials into AI tools that the contract or license does not allow for processing in this way.</w:t>
      </w:r>
    </w:p>
    <w:p>
      <w:r>
        <w:rPr>
          <w:i/>
          <w:color w:val="5A6270"/>
          <w:sz w:val="18"/>
          <w:szCs w:val="18"/>
        </w:rPr>
        <w:t xml:space="preserve">How to refill (remove before admission): It mainly concerns marketing and sales. If you work with an agency, add these rules to your contract with them.</w:t>
      </w:r>
    </w:p>
    <w:p>
      <w:pPr>
        <w:pStyle w:val="Heading1"/>
      </w:pPr>
      <w:r>
        <w:t xml:space="preserve">§ 8. Competencies and training</w:t>
      </w:r>
    </w:p>
    <w:p>
      <w:pPr>
        <w:ind w:left="360" w:hanging="360"/>
      </w:pPr>
      <w:r>
        <w:t xml:space="preserve">1. Everyone using AI receives onboarding training within </w:t>
      </w:r>
      <w:r>
        <w:rPr>
          <w:shd w:val="clear" w:color="auto" w:fill="DDEFD9"/>
        </w:rPr>
        <w:t xml:space="preserve">[30]</w:t>
      </w:r>
      <w:r>
        <w:t xml:space="preserve"> days of starting work or gaining access to the tool, followed by a refresher </w:t>
      </w:r>
      <w:r>
        <w:rPr>
          <w:shd w:val="clear" w:color="auto" w:fill="DDEFD9"/>
        </w:rPr>
        <w:t xml:space="preserve">[once a year]</w:t>
      </w:r>
      <w:r>
        <w:t xml:space="preserve">.</w:t>
      </w:r>
    </w:p>
    <w:p>
      <w:pPr>
        <w:ind w:left="360" w:hanging="360"/>
      </w:pPr>
      <w:r>
        <w:t xml:space="preserve">2. At a minimum, the training covers: how the tool works, common errors, data that should not be shared, and how to report a problem. People who configure or are responsible for the tools go through a broader program.</w:t>
      </w:r>
    </w:p>
    <w:p>
      <w:pPr>
        <w:ind w:left="360" w:hanging="360"/>
      </w:pPr>
      <w:r>
        <w:t xml:space="preserve">3. </w:t>
      </w:r>
      <w:r>
        <w:rPr>
          <w:shd w:val="clear" w:color="auto" w:fill="DDEFD9"/>
        </w:rPr>
        <w:t xml:space="preserve">[The person]</w:t>
      </w:r>
      <w:r>
        <w:t xml:space="preserve"> keeps a register of training: who, when and to what extent.</w:t>
      </w:r>
    </w:p>
    <w:p>
      <w:r>
        <w:rPr>
          <w:i/>
          <w:color w:val="5A6270"/>
          <w:sz w:val="18"/>
          <w:szCs w:val="18"/>
        </w:rPr>
        <w:t xml:space="preserve">How to refill (remove before admission): Article 4 of the AI Act requires actions to support AI competences. No certificate needed. The training register is the simplest evidence of these activities.</w:t>
      </w:r>
    </w:p>
    <w:p>
      <w:pPr>
        <w:pStyle w:val="Heading1"/>
      </w:pPr>
      <w:r>
        <w:t xml:space="preserve">§ 9. Incidents</w:t>
      </w:r>
    </w:p>
    <w:p>
      <w:pPr>
        <w:ind w:left="360" w:hanging="360"/>
      </w:pPr>
      <w:r>
        <w:t xml:space="preserve">1. We immediately report to </w:t>
      </w:r>
      <w:r>
        <w:rPr>
          <w:shd w:val="clear" w:color="auto" w:fill="DDEFD9"/>
        </w:rPr>
        <w:t xml:space="preserve">[person or address]</w:t>
      </w:r>
      <w:r>
        <w:t xml:space="preserve"> and supervisor: entering protected data into an unauthorized tool, a significant error in the AI result used externally or in a decision, suspected data leakage and unusual operation of the tool.</w:t>
      </w:r>
    </w:p>
    <w:p>
      <w:pPr>
        <w:ind w:left="360" w:hanging="360"/>
      </w:pPr>
      <w:r>
        <w:t xml:space="preserve">2. Reporting in good faith is not grounds for punishment. Concealing an incident is a violation of policy.</w:t>
      </w:r>
    </w:p>
    <w:p>
      <w:pPr>
        <w:ind w:left="360" w:hanging="360"/>
      </w:pPr>
      <w:r>
        <w:t xml:space="preserve">3. If the incident concerns personal data, </w:t>
      </w:r>
      <w:r>
        <w:rPr>
          <w:shd w:val="clear" w:color="auto" w:fill="DDEFD9"/>
        </w:rPr>
        <w:t xml:space="preserve">[person / data protection officer]</w:t>
      </w:r>
      <w:r>
        <w:t xml:space="preserve"> assesses whether it is necessary to report the breach to the President of the Personal Data Protection Office. You have 72 hours to report a violation.</w:t>
      </w:r>
    </w:p>
    <w:p>
      <w:r>
        <w:rPr>
          <w:i/>
          <w:color w:val="5A6270"/>
          <w:sz w:val="18"/>
          <w:szCs w:val="18"/>
        </w:rPr>
        <w:t xml:space="preserve">How to refill (remove before admission): The deadline of 72 hours results from Art. 33 GDPR, therefore internal reporting is counted in hours.</w:t>
      </w:r>
    </w:p>
    <w:p>
      <w:pPr>
        <w:pStyle w:val="Heading1"/>
      </w:pPr>
      <w:r>
        <w:t xml:space="preserve">§ 10. Policy guardian, review and violations</w:t>
      </w:r>
    </w:p>
    <w:p>
      <w:pPr>
        <w:ind w:left="360" w:hanging="360"/>
      </w:pPr>
      <w:r>
        <w:t xml:space="preserve">1. </w:t>
      </w:r>
      <w:r>
        <w:rPr>
          <w:shd w:val="clear" w:color="auto" w:fill="DDEFD9"/>
        </w:rPr>
        <w:t xml:space="preserve">[position, name and surname]</w:t>
      </w:r>
      <w:r>
        <w:t xml:space="preserve"> (Policy Supervisor) is responsible for the policy and the register of tools.</w:t>
      </w:r>
    </w:p>
    <w:p>
      <w:pPr>
        <w:ind w:left="360" w:hanging="360"/>
      </w:pPr>
      <w:r>
        <w:t xml:space="preserve">2. The custodian reviews the policy and register every </w:t>
      </w:r>
      <w:r>
        <w:rPr>
          <w:shd w:val="clear" w:color="auto" w:fill="DDEFD9"/>
        </w:rPr>
        <w:t xml:space="preserve">[6]</w:t>
      </w:r>
      <w:r>
        <w:t xml:space="preserve"> months and after a significant change in regulations, changes to the plan or terms of the utility and after any incident.</w:t>
      </w:r>
    </w:p>
    <w:p>
      <w:pPr>
        <w:ind w:left="360" w:hanging="360"/>
      </w:pPr>
      <w:r>
        <w:t xml:space="preserve">3. Violation of the policy may result in consequences provided for in the contract or labor law.</w:t>
      </w:r>
    </w:p>
    <w:p>
      <w:r>
        <w:rPr>
          <w:i/>
          <w:color w:val="5A6270"/>
          <w:sz w:val="18"/>
          <w:szCs w:val="18"/>
        </w:rPr>
        <w:t xml:space="preserve">How to refill (remove before admission): In a small company, the supervisor is often the owner or office manager. There should be a specific name in the document.</w:t>
      </w:r>
    </w:p>
    <w:p>
      <w:pPr>
        <w:pStyle w:val="Heading1"/>
        <w:pageBreakBefore/>
      </w:pPr>
      <w:r>
        <w:t xml:space="preserve">Appendix No. 1. Register of AI tools</w:t>
      </w:r>
    </w:p>
    <w:p>
      <w:r>
        <w:t xml:space="preserve">One line is one tool on one plan. The lines below are examples and replaceable.</w:t>
      </w:r>
    </w:p>
    <w:tbl>
      <w:tblPr>
        <w:tblStyle w:val="TableGrid"/>
        <w:tblW w:w="5000" w:type="pct"/>
      </w:tblPr>
      <w:tblGrid>
        <w:gridCol w:w="1337"/>
        <w:gridCol w:w="1337"/>
        <w:gridCol w:w="1337"/>
        <w:gridCol w:w="1337"/>
        <w:gridCol w:w="1337"/>
        <w:gridCol w:w="1337"/>
        <w:gridCol w:w="1337"/>
      </w:tblGrid>
      <w:tr>
        <w:trPr>
          <w:tblHeader/>
        </w:trPr>
        <w:tc>
          <w:tcPr>
            <w:tcW w:w="1337" w:type="dxa"/>
            <w:shd w:val="clear" w:color="auto" w:fill="EEF0F2"/>
          </w:tcPr>
          <w:p>
            <w:pPr>
              <w:spacing w:after="0"/>
            </w:pPr>
            <w:r>
              <w:rPr>
                <w:b/>
                <w:sz w:val="18"/>
                <w:szCs w:val="18"/>
              </w:rPr>
              <w:t xml:space="preserve">Tool and plan</w:t>
            </w:r>
          </w:p>
        </w:tc>
        <w:tc>
          <w:tcPr>
            <w:tcW w:w="1337" w:type="dxa"/>
            <w:shd w:val="clear" w:color="auto" w:fill="EEF0F2"/>
          </w:tcPr>
          <w:p>
            <w:pPr>
              <w:spacing w:after="0"/>
            </w:pPr>
            <w:r>
              <w:rPr>
                <w:b/>
                <w:sz w:val="18"/>
                <w:szCs w:val="18"/>
              </w:rPr>
              <w:t xml:space="preserve">To what</w:t>
            </w:r>
          </w:p>
        </w:tc>
        <w:tc>
          <w:tcPr>
            <w:tcW w:w="1337" w:type="dxa"/>
            <w:shd w:val="clear" w:color="auto" w:fill="EEF0F2"/>
          </w:tcPr>
          <w:p>
            <w:pPr>
              <w:spacing w:after="0"/>
            </w:pPr>
            <w:r>
              <w:rPr>
                <w:b/>
                <w:sz w:val="18"/>
                <w:szCs w:val="18"/>
              </w:rPr>
              <w:t xml:space="preserve">Allowed data</w:t>
            </w:r>
          </w:p>
        </w:tc>
        <w:tc>
          <w:tcPr>
            <w:tcW w:w="1337" w:type="dxa"/>
            <w:shd w:val="clear" w:color="auto" w:fill="EEF0F2"/>
          </w:tcPr>
          <w:p>
            <w:pPr>
              <w:spacing w:after="0"/>
            </w:pPr>
            <w:r>
              <w:rPr>
                <w:b/>
                <w:sz w:val="18"/>
                <w:szCs w:val="18"/>
              </w:rPr>
              <w:t xml:space="preserve">Entrustment agreement</w:t>
            </w:r>
          </w:p>
        </w:tc>
        <w:tc>
          <w:tcPr>
            <w:tcW w:w="1337" w:type="dxa"/>
            <w:shd w:val="clear" w:color="auto" w:fill="EEF0F2"/>
          </w:tcPr>
          <w:p>
            <w:pPr>
              <w:spacing w:after="0"/>
            </w:pPr>
            <w:r>
              <w:rPr>
                <w:b/>
                <w:sz w:val="18"/>
                <w:szCs w:val="18"/>
              </w:rPr>
              <w:t xml:space="preserve">Training on our data</w:t>
            </w:r>
          </w:p>
        </w:tc>
        <w:tc>
          <w:tcPr>
            <w:tcW w:w="1337" w:type="dxa"/>
            <w:shd w:val="clear" w:color="auto" w:fill="EEF0F2"/>
          </w:tcPr>
          <w:p>
            <w:pPr>
              <w:spacing w:after="0"/>
            </w:pPr>
            <w:r>
              <w:rPr>
                <w:b/>
                <w:sz w:val="18"/>
                <w:szCs w:val="18"/>
              </w:rPr>
              <w:t xml:space="preserve">Guardian</w:t>
            </w:r>
          </w:p>
        </w:tc>
        <w:tc>
          <w:tcPr>
            <w:tcW w:w="1337" w:type="dxa"/>
            <w:shd w:val="clear" w:color="auto" w:fill="EEF0F2"/>
          </w:tcPr>
          <w:p>
            <w:pPr>
              <w:spacing w:after="0"/>
            </w:pPr>
            <w:r>
              <w:rPr>
                <w:b/>
                <w:sz w:val="18"/>
                <w:szCs w:val="18"/>
              </w:rPr>
              <w:t xml:space="preserve">Review</w:t>
            </w:r>
          </w:p>
        </w:tc>
      </w:tr>
      <w:tr>
        <w:tc>
          <w:tcPr>
            <w:tcW w:w="1337" w:type="dxa"/>
          </w:tcPr>
          <w:p>
            <w:pPr>
              <w:spacing w:after="0"/>
            </w:pPr>
            <w:r>
              <w:rPr>
                <w:sz w:val="18"/>
                <w:szCs w:val="18"/>
                <w:shd w:val="clear" w:color="auto" w:fill="DDEFD9"/>
              </w:rPr>
              <w:t xml:space="preserve">[chat assistant, company plan]</w:t>
            </w:r>
          </w:p>
        </w:tc>
        <w:tc>
          <w:tcPr>
            <w:tcW w:w="1337" w:type="dxa"/>
          </w:tcPr>
          <w:p>
            <w:pPr>
              <w:spacing w:after="0"/>
            </w:pPr>
            <w:r>
              <w:rPr>
                <w:sz w:val="18"/>
                <w:szCs w:val="18"/>
              </w:rPr>
              <w:t xml:space="preserve">sketches, translations, summaries</w:t>
            </w:r>
          </w:p>
        </w:tc>
        <w:tc>
          <w:tcPr>
            <w:tcW w:w="1337" w:type="dxa"/>
          </w:tcPr>
          <w:p>
            <w:pPr>
              <w:spacing w:after="0"/>
            </w:pPr>
            <w:r>
              <w:rPr>
                <w:sz w:val="18"/>
                <w:szCs w:val="18"/>
              </w:rPr>
              <w:t xml:space="preserve">public, internal</w:t>
            </w:r>
          </w:p>
        </w:tc>
        <w:tc>
          <w:tcPr>
            <w:tcW w:w="1337" w:type="dxa"/>
          </w:tcPr>
          <w:p>
            <w:pPr>
              <w:spacing w:after="0"/>
            </w:pPr>
            <w:r>
              <w:rPr>
                <w:sz w:val="18"/>
                <w:szCs w:val="18"/>
                <w:shd w:val="clear" w:color="auto" w:fill="DDEFD9"/>
              </w:rPr>
              <w:t xml:space="preserve">[signed / not applicable]</w:t>
            </w:r>
          </w:p>
        </w:tc>
        <w:tc>
          <w:tcPr>
            <w:tcW w:w="1337" w:type="dxa"/>
          </w:tcPr>
          <w:p>
            <w:pPr>
              <w:spacing w:after="0"/>
            </w:pPr>
            <w:r>
              <w:rPr>
                <w:sz w:val="18"/>
                <w:szCs w:val="18"/>
                <w:shd w:val="clear" w:color="auto" w:fill="DDEFD9"/>
              </w:rPr>
              <w:t xml:space="preserve">[disabled]</w:t>
            </w:r>
          </w:p>
        </w:tc>
        <w:tc>
          <w:tcPr>
            <w:tcW w:w="1337" w:type="dxa"/>
          </w:tcPr>
          <w:p>
            <w:pPr>
              <w:spacing w:after="0"/>
            </w:pPr>
            <w:r>
              <w:rPr>
                <w:sz w:val="18"/>
                <w:szCs w:val="18"/>
                <w:shd w:val="clear" w:color="auto" w:fill="DDEFD9"/>
              </w:rPr>
              <w:t xml:space="preserve">[person]</w:t>
            </w:r>
          </w:p>
        </w:tc>
        <w:tc>
          <w:tcPr>
            <w:tcW w:w="1337" w:type="dxa"/>
          </w:tcPr>
          <w:p>
            <w:pPr>
              <w:spacing w:after="0"/>
            </w:pPr>
            <w:r>
              <w:rPr>
                <w:sz w:val="18"/>
                <w:szCs w:val="18"/>
                <w:shd w:val="clear" w:color="auto" w:fill="DDEFD9"/>
              </w:rPr>
              <w:t xml:space="preserve">[date]</w:t>
            </w:r>
          </w:p>
        </w:tc>
      </w:tr>
      <w:tr>
        <w:tc>
          <w:tcPr>
            <w:tcW w:w="1337" w:type="dxa"/>
          </w:tcPr>
          <w:p>
            <w:pPr>
              <w:spacing w:after="0"/>
            </w:pPr>
            <w:r>
              <w:rPr>
                <w:sz w:val="18"/>
                <w:szCs w:val="18"/>
                <w:shd w:val="clear" w:color="auto" w:fill="DDEFD9"/>
              </w:rPr>
              <w:t xml:space="preserve">[AI functions in the office suite]</w:t>
            </w:r>
          </w:p>
        </w:tc>
        <w:tc>
          <w:tcPr>
            <w:tcW w:w="1337" w:type="dxa"/>
          </w:tcPr>
          <w:p>
            <w:pPr>
              <w:spacing w:after="0"/>
            </w:pPr>
            <w:r>
              <w:rPr>
                <w:sz w:val="18"/>
                <w:szCs w:val="18"/>
              </w:rPr>
              <w:t xml:space="preserve">meeting notes, document summaries</w:t>
            </w:r>
          </w:p>
        </w:tc>
        <w:tc>
          <w:tcPr>
            <w:tcW w:w="1337" w:type="dxa"/>
          </w:tcPr>
          <w:p>
            <w:pPr>
              <w:spacing w:after="0"/>
            </w:pPr>
            <w:r>
              <w:rPr>
                <w:sz w:val="18"/>
                <w:szCs w:val="18"/>
              </w:rPr>
              <w:t xml:space="preserve">public, internal, </w:t>
            </w:r>
            <w:r>
              <w:rPr>
                <w:sz w:val="18"/>
                <w:szCs w:val="18"/>
                <w:shd w:val="clear" w:color="auto" w:fill="DDEFD9"/>
              </w:rPr>
              <w:t xml:space="preserve">[protected: indicate categories]</w:t>
            </w:r>
          </w:p>
        </w:tc>
        <w:tc>
          <w:tcPr>
            <w:tcW w:w="1337" w:type="dxa"/>
          </w:tcPr>
          <w:p>
            <w:pPr>
              <w:spacing w:after="0"/>
            </w:pPr>
            <w:r>
              <w:rPr>
                <w:sz w:val="18"/>
                <w:szCs w:val="18"/>
                <w:shd w:val="clear" w:color="auto" w:fill="DDEFD9"/>
              </w:rPr>
              <w:t xml:space="preserve">[signed]</w:t>
            </w:r>
          </w:p>
        </w:tc>
        <w:tc>
          <w:tcPr>
            <w:tcW w:w="1337" w:type="dxa"/>
          </w:tcPr>
          <w:p>
            <w:pPr>
              <w:spacing w:after="0"/>
            </w:pPr>
            <w:r>
              <w:rPr>
                <w:sz w:val="18"/>
                <w:szCs w:val="18"/>
                <w:shd w:val="clear" w:color="auto" w:fill="DDEFD9"/>
              </w:rPr>
              <w:t xml:space="preserve">[disabled]</w:t>
            </w:r>
          </w:p>
        </w:tc>
        <w:tc>
          <w:tcPr>
            <w:tcW w:w="1337" w:type="dxa"/>
          </w:tcPr>
          <w:p>
            <w:pPr>
              <w:spacing w:after="0"/>
            </w:pPr>
            <w:r>
              <w:rPr>
                <w:sz w:val="18"/>
                <w:szCs w:val="18"/>
                <w:shd w:val="clear" w:color="auto" w:fill="DDEFD9"/>
              </w:rPr>
              <w:t xml:space="preserve">[person]</w:t>
            </w:r>
          </w:p>
        </w:tc>
        <w:tc>
          <w:tcPr>
            <w:tcW w:w="1337" w:type="dxa"/>
          </w:tcPr>
          <w:p>
            <w:pPr>
              <w:spacing w:after="0"/>
            </w:pPr>
            <w:r>
              <w:rPr>
                <w:sz w:val="18"/>
                <w:szCs w:val="18"/>
                <w:shd w:val="clear" w:color="auto" w:fill="DDEFD9"/>
              </w:rPr>
              <w:t xml:space="preserve">[date]</w:t>
            </w:r>
          </w:p>
        </w:tc>
      </w:tr>
      <w:tr>
        <w:tc>
          <w:tcPr>
            <w:tcW w:w="1337" w:type="dxa"/>
          </w:tcPr>
          <w:p>
            <w:pPr>
              <w:spacing w:after="0"/>
            </w:pPr>
            <w:r>
              <w:rPr>
                <w:sz w:val="18"/>
                <w:szCs w:val="18"/>
                <w:shd w:val="clear" w:color="auto" w:fill="DDEFD9"/>
              </w:rPr>
              <w:t xml:space="preserve">[chat for customers on the website]</w:t>
            </w:r>
          </w:p>
        </w:tc>
        <w:tc>
          <w:tcPr>
            <w:tcW w:w="1337" w:type="dxa"/>
          </w:tcPr>
          <w:p>
            <w:pPr>
              <w:spacing w:after="0"/>
            </w:pPr>
            <w:r>
              <w:rPr>
                <w:sz w:val="18"/>
                <w:szCs w:val="18"/>
              </w:rPr>
              <w:t xml:space="preserve">answers to questions about the offer</w:t>
            </w:r>
          </w:p>
        </w:tc>
        <w:tc>
          <w:tcPr>
            <w:tcW w:w="1337" w:type="dxa"/>
          </w:tcPr>
          <w:p>
            <w:pPr>
              <w:spacing w:after="0"/>
            </w:pPr>
            <w:r>
              <w:rPr>
                <w:sz w:val="18"/>
                <w:szCs w:val="18"/>
              </w:rPr>
              <w:t xml:space="preserve">public</w:t>
            </w:r>
          </w:p>
        </w:tc>
        <w:tc>
          <w:tcPr>
            <w:tcW w:w="1337" w:type="dxa"/>
          </w:tcPr>
          <w:p>
            <w:pPr>
              <w:spacing w:after="0"/>
            </w:pPr>
            <w:r>
              <w:rPr>
                <w:sz w:val="18"/>
                <w:szCs w:val="18"/>
                <w:shd w:val="clear" w:color="auto" w:fill="DDEFD9"/>
              </w:rPr>
              <w:t xml:space="preserve">[signed]</w:t>
            </w:r>
          </w:p>
        </w:tc>
        <w:tc>
          <w:tcPr>
            <w:tcW w:w="1337" w:type="dxa"/>
          </w:tcPr>
          <w:p>
            <w:pPr>
              <w:spacing w:after="0"/>
            </w:pPr>
            <w:r>
              <w:rPr>
                <w:sz w:val="18"/>
                <w:szCs w:val="18"/>
                <w:shd w:val="clear" w:color="auto" w:fill="DDEFD9"/>
              </w:rPr>
              <w:t xml:space="preserve">[disabled]</w:t>
            </w:r>
          </w:p>
        </w:tc>
        <w:tc>
          <w:tcPr>
            <w:tcW w:w="1337" w:type="dxa"/>
          </w:tcPr>
          <w:p>
            <w:pPr>
              <w:spacing w:after="0"/>
            </w:pPr>
            <w:r>
              <w:rPr>
                <w:sz w:val="18"/>
                <w:szCs w:val="18"/>
                <w:shd w:val="clear" w:color="auto" w:fill="DDEFD9"/>
              </w:rPr>
              <w:t xml:space="preserve">[person]</w:t>
            </w:r>
          </w:p>
        </w:tc>
        <w:tc>
          <w:tcPr>
            <w:tcW w:w="1337" w:type="dxa"/>
          </w:tcPr>
          <w:p>
            <w:pPr>
              <w:spacing w:after="0"/>
            </w:pPr>
            <w:r>
              <w:rPr>
                <w:sz w:val="18"/>
                <w:szCs w:val="18"/>
                <w:shd w:val="clear" w:color="auto" w:fill="DDEFD9"/>
              </w:rPr>
              <w:t xml:space="preserve">[date]</w:t>
            </w:r>
          </w:p>
        </w:tc>
      </w:tr>
    </w:tbl>
    <w:p>
      <w:pPr>
        <w:spacing w:after="120"/>
      </w:pPr>
    </w:p>
    <w:p>
      <w:r>
        <w:rPr>
          <w:i/>
          <w:color w:val="5A6270"/>
          <w:sz w:val="18"/>
          <w:szCs w:val="18"/>
        </w:rPr>
        <w:t xml:space="preserve">How to refill (remove before admission): Training settings and plan conditions change several times a year. Therefore, each row has a review date.</w:t>
      </w:r>
    </w:p>
    <w:p>
      <w:pPr>
        <w:pStyle w:val="Heading1"/>
      </w:pPr>
      <w:r>
        <w:t xml:space="preserve">Appendix No. 2. Data classes</w:t>
      </w:r>
    </w:p>
    <w:tbl>
      <w:tblPr>
        <w:tblStyle w:val="TableGrid"/>
        <w:tblW w:w="5000" w:type="pct"/>
      </w:tblPr>
      <w:tblGrid>
        <w:gridCol w:w="3120"/>
        <w:gridCol w:w="3120"/>
        <w:gridCol w:w="3120"/>
      </w:tblGrid>
      <w:tr>
        <w:trPr>
          <w:tblHeader/>
        </w:trPr>
        <w:tc>
          <w:tcPr>
            <w:tcW w:w="3120" w:type="dxa"/>
            <w:shd w:val="clear" w:color="auto" w:fill="EEF0F2"/>
          </w:tcPr>
          <w:p>
            <w:pPr>
              <w:spacing w:after="0"/>
            </w:pPr>
            <w:r>
              <w:rPr>
                <w:b/>
                <w:sz w:val="18"/>
                <w:szCs w:val="18"/>
              </w:rPr>
              <w:t xml:space="preserve">Class</w:t>
            </w:r>
          </w:p>
        </w:tc>
        <w:tc>
          <w:tcPr>
            <w:tcW w:w="3120" w:type="dxa"/>
            <w:shd w:val="clear" w:color="auto" w:fill="EEF0F2"/>
          </w:tcPr>
          <w:p>
            <w:pPr>
              <w:spacing w:after="0"/>
            </w:pPr>
            <w:r>
              <w:rPr>
                <w:b/>
                <w:sz w:val="18"/>
                <w:szCs w:val="18"/>
              </w:rPr>
              <w:t xml:space="preserve">Examples</w:t>
            </w:r>
          </w:p>
        </w:tc>
        <w:tc>
          <w:tcPr>
            <w:tcW w:w="3120" w:type="dxa"/>
            <w:shd w:val="clear" w:color="auto" w:fill="EEF0F2"/>
          </w:tcPr>
          <w:p>
            <w:pPr>
              <w:spacing w:after="0"/>
            </w:pPr>
            <w:r>
              <w:rPr>
                <w:b/>
                <w:sz w:val="18"/>
                <w:szCs w:val="18"/>
              </w:rPr>
              <w:t xml:space="preserve">Where can I enter?</w:t>
            </w:r>
          </w:p>
        </w:tc>
      </w:tr>
      <w:tr>
        <w:tc>
          <w:tcPr>
            <w:tcW w:w="3120" w:type="dxa"/>
          </w:tcPr>
          <w:p>
            <w:pPr>
              <w:spacing w:after="0"/>
            </w:pPr>
            <w:r>
              <w:rPr>
                <w:sz w:val="18"/>
                <w:szCs w:val="18"/>
              </w:rPr>
              <w:t xml:space="preserve">Public</w:t>
            </w:r>
          </w:p>
        </w:tc>
        <w:tc>
          <w:tcPr>
            <w:tcW w:w="3120" w:type="dxa"/>
          </w:tcPr>
          <w:p>
            <w:pPr>
              <w:spacing w:after="0"/>
            </w:pPr>
            <w:r>
              <w:rPr>
                <w:sz w:val="18"/>
                <w:szCs w:val="18"/>
              </w:rPr>
              <w:t xml:space="preserve">content from our website, published offers and price lists, general questions without company details</w:t>
            </w:r>
          </w:p>
        </w:tc>
        <w:tc>
          <w:tcPr>
            <w:tcW w:w="3120" w:type="dxa"/>
          </w:tcPr>
          <w:p>
            <w:pPr>
              <w:spacing w:after="0"/>
            </w:pPr>
            <w:r>
              <w:rPr>
                <w:sz w:val="18"/>
                <w:szCs w:val="18"/>
              </w:rPr>
              <w:t xml:space="preserve">every tool in the registry</w:t>
            </w:r>
          </w:p>
        </w:tc>
      </w:tr>
      <w:tr>
        <w:tc>
          <w:tcPr>
            <w:tcW w:w="3120" w:type="dxa"/>
          </w:tcPr>
          <w:p>
            <w:pPr>
              <w:spacing w:after="0"/>
            </w:pPr>
            <w:r>
              <w:rPr>
                <w:sz w:val="18"/>
                <w:szCs w:val="18"/>
              </w:rPr>
              <w:t xml:space="preserve">Internal</w:t>
            </w:r>
          </w:p>
        </w:tc>
        <w:tc>
          <w:tcPr>
            <w:tcW w:w="3120" w:type="dxa"/>
          </w:tcPr>
          <w:p>
            <w:pPr>
              <w:spacing w:after="0"/>
            </w:pPr>
            <w:r>
              <w:rPr>
                <w:sz w:val="18"/>
                <w:szCs w:val="18"/>
              </w:rPr>
              <w:t xml:space="preserve">internal sketches and notes, procedures without personal data, reports without customer names</w:t>
            </w:r>
          </w:p>
        </w:tc>
        <w:tc>
          <w:tcPr>
            <w:tcW w:w="3120" w:type="dxa"/>
          </w:tcPr>
          <w:p>
            <w:pPr>
              <w:spacing w:after="0"/>
            </w:pPr>
            <w:r>
              <w:rPr>
                <w:sz w:val="18"/>
                <w:szCs w:val="18"/>
              </w:rPr>
              <w:t xml:space="preserve">tools from the registry, company account only</w:t>
            </w:r>
          </w:p>
        </w:tc>
      </w:tr>
      <w:tr>
        <w:tc>
          <w:tcPr>
            <w:tcW w:w="3120" w:type="dxa"/>
          </w:tcPr>
          <w:p>
            <w:pPr>
              <w:spacing w:after="0"/>
            </w:pPr>
            <w:r>
              <w:rPr>
                <w:sz w:val="18"/>
                <w:szCs w:val="18"/>
              </w:rPr>
              <w:t xml:space="preserve">Protected</w:t>
            </w:r>
          </w:p>
        </w:tc>
        <w:tc>
          <w:tcPr>
            <w:tcW w:w="3120" w:type="dxa"/>
          </w:tcPr>
          <w:p>
            <w:pPr>
              <w:spacing w:after="0"/>
            </w:pPr>
            <w:r>
              <w:rPr>
                <w:sz w:val="18"/>
                <w:szCs w:val="18"/>
              </w:rPr>
              <w:t xml:space="preserve">personal data of customers and employees, health data, content of contracts, non-public financial data, code and configurations, passwords, keys and tokens, data entrusted by customers</w:t>
            </w:r>
          </w:p>
        </w:tc>
        <w:tc>
          <w:tcPr>
            <w:tcW w:w="3120" w:type="dxa"/>
          </w:tcPr>
          <w:p>
            <w:pPr>
              <w:spacing w:after="0"/>
            </w:pPr>
            <w:r>
              <w:rPr>
                <w:sz w:val="18"/>
                <w:szCs w:val="18"/>
              </w:rPr>
              <w:t xml:space="preserve">only a tool that the registry allows for this category</w:t>
            </w:r>
          </w:p>
        </w:tc>
      </w:tr>
    </w:tbl>
    <w:p>
      <w:pPr>
        <w:spacing w:after="120"/>
      </w:pPr>
    </w:p>
    <w:p>
      <w:pPr>
        <w:pStyle w:val="Heading1"/>
      </w:pPr>
      <w:r>
        <w:t xml:space="preserve">Annex No. 3. Confirmation of reading</w:t>
      </w:r>
    </w:p>
    <w:p>
      <w:r>
        <w:t xml:space="preserve">I confirm that I have read the Policy on the use of artificial intelligence tools at </w:t>
      </w:r>
      <w:r>
        <w:rPr>
          <w:shd w:val="clear" w:color="auto" w:fill="DDEFD9"/>
        </w:rPr>
        <w:t xml:space="preserve">[company name]</w:t>
      </w:r>
      <w:r>
        <w:t xml:space="preserve"> version </w:t>
      </w:r>
      <w:r>
        <w:rPr>
          <w:shd w:val="clear" w:color="auto" w:fill="DDEFD9"/>
        </w:rPr>
        <w:t xml:space="preserve">[1.0]</w:t>
      </w:r>
      <w:r>
        <w:t xml:space="preserve"> and will comply with it.</w:t>
      </w:r>
    </w:p>
    <w:p>
      <w:pPr>
        <w:spacing w:after="240"/>
      </w:pPr>
      <w:r>
        <w:t xml:space="preserve">Name: ______________________________</w:t>
      </w:r>
    </w:p>
    <w:p>
      <w:pPr>
        <w:spacing w:after="240"/>
      </w:pPr>
      <w:r>
        <w:t xml:space="preserve">Date: ______________________________</w:t>
      </w:r>
    </w:p>
    <w:p>
      <w:pPr>
        <w:spacing w:after="240"/>
      </w:pPr>
      <w:r>
        <w:t xml:space="preserve">Signature: ______________________________</w:t>
      </w:r>
    </w:p>
    <w:p>
      <w:pPr>
        <w:pStyle w:val="Heading1"/>
        <w:pageBreakBefore/>
      </w:pPr>
      <w:r>
        <w:t xml:space="preserve">Principles of working with AI at </w:t>
      </w:r>
      <w:r>
        <w:rPr>
          <w:shd w:val="clear" w:color="auto" w:fill="DDEFD9"/>
        </w:rPr>
        <w:t xml:space="preserve">[company name]</w:t>
      </w:r>
    </w:p>
    <w:p>
      <w:pPr>
        <w:ind w:left="360" w:hanging="360"/>
      </w:pPr>
      <w:r>
        <w:t xml:space="preserve">1. Use the tools from the list: </w:t>
      </w:r>
      <w:r>
        <w:rPr>
          <w:shd w:val="clear" w:color="auto" w:fill="DDEFD9"/>
        </w:rPr>
        <w:t xml:space="preserve">[registry link]</w:t>
      </w:r>
      <w:r>
        <w:t xml:space="preserve">. Always on your business account.</w:t>
      </w:r>
    </w:p>
    <w:p>
      <w:pPr>
        <w:ind w:left="360" w:hanging="360"/>
      </w:pPr>
      <w:r>
        <w:t xml:space="preserve">2. Do not enter personal details, contracts, passwords or customer details unless the list specifically allows it.</w:t>
      </w:r>
    </w:p>
    <w:p>
      <w:pPr>
        <w:ind w:left="360" w:hanging="360"/>
      </w:pPr>
      <w:r>
        <w:t xml:space="preserve">3. Check the result before it goes out to the client. Verify numbers, names and recipes from the source.</w:t>
      </w:r>
    </w:p>
    <w:p>
      <w:pPr>
        <w:ind w:left="360" w:hanging="360"/>
      </w:pPr>
      <w:r>
        <w:t xml:space="preserve">4. You are responsible for the text sent. The tool prepares a sketch.</w:t>
      </w:r>
    </w:p>
    <w:p>
      <w:pPr>
        <w:ind w:left="360" w:hanging="360"/>
      </w:pPr>
      <w:r>
        <w:t xml:space="preserve">5. AI in decisions about people, such as recruiting or job evaluation, requires </w:t>
      </w:r>
      <w:r>
        <w:rPr>
          <w:shd w:val="clear" w:color="auto" w:fill="DDEFD9"/>
        </w:rPr>
        <w:t xml:space="preserve">[the person's]</w:t>
      </w:r>
      <w:r>
        <w:t xml:space="preserve"> consent.</w:t>
      </w:r>
    </w:p>
    <w:p>
      <w:pPr>
        <w:ind w:left="360" w:hanging="360"/>
      </w:pPr>
      <w:r>
        <w:t xml:space="preserve">6. Need a new tool? Write to </w:t>
      </w:r>
      <w:r>
        <w:rPr>
          <w:shd w:val="clear" w:color="auto" w:fill="DDEFD9"/>
        </w:rPr>
        <w:t xml:space="preserve">[person]</w:t>
      </w:r>
      <w:r>
        <w:t xml:space="preserve">. You will receive a response within </w:t>
      </w:r>
      <w:r>
        <w:rPr>
          <w:shd w:val="clear" w:color="auto" w:fill="DDEFD9"/>
        </w:rPr>
        <w:t xml:space="preserve">[5]</w:t>
      </w:r>
      <w:r>
        <w:t xml:space="preserve"> business days.</w:t>
      </w:r>
    </w:p>
    <w:p>
      <w:pPr>
        <w:ind w:left="360" w:hanging="360"/>
      </w:pPr>
      <w:r>
        <w:t xml:space="preserve">7. Something went wrong? Report it immediately to </w:t>
      </w:r>
      <w:r>
        <w:rPr>
          <w:shd w:val="clear" w:color="auto" w:fill="DDEFD9"/>
        </w:rPr>
        <w:t xml:space="preserve">[person]</w:t>
      </w:r>
      <w:r>
        <w:t xml:space="preserve">. There is no penalty for reporting.</w:t>
      </w:r>
    </w:p>
    <w:p>
      <w:r>
        <w:rPr>
          <w:i/>
          <w:color w:val="5A6270"/>
        </w:rPr>
        <w:t xml:space="preserve">Questions: </w:t>
      </w:r>
      <w:r>
        <w:rPr>
          <w:i/>
          <w:color w:val="5A6270"/>
          <w:shd w:val="clear" w:color="auto" w:fill="DDEFD9"/>
        </w:rPr>
        <w:t xml:space="preserve">[person]</w:t>
      </w:r>
      <w:r>
        <w:rPr>
          <w:i/>
          <w:color w:val="5A6270"/>
        </w:rPr>
        <w:t xml:space="preserve">, </w:t>
      </w:r>
      <w:r>
        <w:rPr>
          <w:i/>
          <w:color w:val="5A6270"/>
          <w:shd w:val="clear" w:color="auto" w:fill="DDEFD9"/>
        </w:rPr>
        <w:t xml:space="preserve">[contact]</w:t>
      </w:r>
      <w:r>
        <w:rPr>
          <w:i/>
          <w:color w:val="5A6270"/>
        </w:rPr>
        <w:t xml:space="preserve">. Full policy: </w:t>
      </w:r>
      <w:r>
        <w:rPr>
          <w:i/>
          <w:color w:val="5A6270"/>
          <w:shd w:val="clear" w:color="auto" w:fill="DDEFD9"/>
        </w:rPr>
        <w:t xml:space="preserve">[link]</w:t>
      </w:r>
      <w:r>
        <w:rPr>
          <w:i/>
          <w:color w:val="5A6270"/>
        </w:rPr>
        <w:t xml:space="preserve">.</w:t>
      </w:r>
    </w:p>
    <w:sectPr>
      <w:pgSz w:w="11906" w:h="16838"/>
      <w:pgMar w:top="1418" w:right="1276" w:bottom="1418" w:left="1276" w:header="709" w:footer="709" w:gutter="0"/>
    </w:sectPr>
  </w:body>
</w:document>
</file>

<file path=word/styles.xml><?xml version="1.0" encoding="utf-8"?>
<w:styles xmlns:w="http://schemas.openxmlformats.org/wordprocessingml/2006/main">
  <w:docDefaults>
    <w:rPrDefault>
      <w:rPr>
        <w:rFonts w:ascii="Arial" w:hAnsi="Arial" w:eastAsia="Arial" w:cs="Arial"/>
        <w:sz w:val="21"/>
        <w:szCs w:val="21"/>
        <w:lang w:val="en-GB"/>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before="120" w:after="120"/>
    </w:pPr>
    <w:rPr>
      <w:b/>
      <w:sz w:val="36"/>
      <w:szCs w:val="36"/>
    </w:rPr>
  </w:style>
  <w:style w:type="paragraph" w:styleId="Heading1">
    <w:name w:val="heading 1"/>
    <w:basedOn w:val="Normal"/>
    <w:next w:val="Normal"/>
    <w:qFormat/>
    <w:pPr>
      <w:keepNext/>
      <w:spacing w:before="320" w:after="120"/>
      <w:outlineLvl w:val="0"/>
    </w:pPr>
    <w:rPr>
      <w:b/>
      <w:sz w:val="26"/>
      <w:szCs w:val="26"/>
    </w:rPr>
  </w:style>
  <w:style w:type="table" w:styleId="TableGrid">
    <w:name w:val="Table Grid"/>
    <w:tblPr>
      <w:tblBorders>
        <w:top w:val="single" w:sz="4" w:space="0" w:color="9AA1AA"/>
        <w:left w:val="single" w:sz="4" w:space="0" w:color="9AA1AA"/>
        <w:bottom w:val="single" w:sz="4" w:space="0" w:color="9AA1AA"/>
        <w:right w:val="single" w:sz="4" w:space="0" w:color="9AA1AA"/>
        <w:insideH w:val="single" w:sz="4" w:space="0" w:color="9AA1AA"/>
        <w:insideV w:val="single" w:sz="4" w:space="0" w:color="9AA1AA"/>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A template of the company's AI use policy</dc:title>
  <dc:creator>Syntalith</dc:creator>
  <dc:language>en-GB</dc:language>
  <dcterms:created xsi:type="dcterms:W3CDTF">2026-10-22T00:00:00Z</dcterms:created>
  <dcterms:modified xsi:type="dcterms:W3CDTF">2026-10-22T00:00:00Z</dcterms:modified>
</cp:coreProperties>
</file>