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r>
        <w:rPr>
          <w:i/>
          <w:color w:val="5A6270"/>
          <w:sz w:val="16"/>
          <w:szCs w:val="16"/>
        </w:rPr>
        <w:t xml:space="preserve">Wzór przygotował Syntalith (syntalith.ai/pl/polityka-ai-w-firmie-wzor). Stan prawny na 14 października 2026. Materiał informacyjny. Przed przyjęciem daj go do przeczytania prawnikowi lub inspektorowi ochrony danych.</w:t>
      </w:r>
    </w:p>
    <w:p>
      <w:pPr>
        <w:pStyle w:val="Title"/>
      </w:pPr>
      <w:r>
        <w:t xml:space="preserve">Polityka korzystania z narzędzi sztucznej inteligencji w </w:t>
      </w:r>
      <w:r>
        <w:rPr>
          <w:shd w:val="clear" w:color="auto" w:fill="DDEFD9"/>
        </w:rPr>
        <w:t xml:space="preserve">[nazwa firmy]</w:t>
      </w:r>
    </w:p>
    <w:p>
      <w:r>
        <w:rPr>
          <w:color w:val="5A6270"/>
        </w:rPr>
        <w:t xml:space="preserve">Wersja </w:t>
      </w:r>
      <w:r>
        <w:rPr>
          <w:color w:val="5A6270"/>
          <w:shd w:val="clear" w:color="auto" w:fill="DDEFD9"/>
        </w:rPr>
        <w:t xml:space="preserve">[1.0]</w:t>
      </w:r>
      <w:r>
        <w:rPr>
          <w:color w:val="5A6270"/>
        </w:rPr>
        <w:t xml:space="preserve"> z dnia </w:t>
      </w:r>
      <w:r>
        <w:rPr>
          <w:color w:val="5A6270"/>
          <w:shd w:val="clear" w:color="auto" w:fill="DDEFD9"/>
        </w:rPr>
        <w:t xml:space="preserve">[data]</w:t>
      </w:r>
      <w:r>
        <w:rPr>
          <w:color w:val="5A6270"/>
        </w:rPr>
        <w:t xml:space="preserve">. Przyjęta </w:t>
      </w:r>
      <w:r>
        <w:rPr>
          <w:color w:val="5A6270"/>
          <w:shd w:val="clear" w:color="auto" w:fill="DDEFD9"/>
        </w:rPr>
        <w:t xml:space="preserve">[zarządzeniem / uchwałą]</w:t>
      </w:r>
      <w:r>
        <w:rPr>
          <w:color w:val="5A6270"/>
        </w:rPr>
        <w:t xml:space="preserve"> przez </w:t>
      </w:r>
      <w:r>
        <w:rPr>
          <w:color w:val="5A6270"/>
          <w:shd w:val="clear" w:color="auto" w:fill="DDEFD9"/>
        </w:rPr>
        <w:t xml:space="preserve">[zarząd / właściciela]</w:t>
      </w:r>
      <w:r>
        <w:rPr>
          <w:color w:val="5A6270"/>
        </w:rPr>
        <w:t xml:space="preserve">.</w:t>
      </w:r>
    </w:p>
    <w:p>
      <w:pPr>
        <w:pStyle w:val="Heading1"/>
      </w:pPr>
      <w:r>
        <w:t xml:space="preserve">§ 1. Cel i zakres</w:t>
      </w:r>
    </w:p>
    <w:p>
      <w:pPr>
        <w:ind w:left="360" w:hanging="360"/>
      </w:pPr>
      <w:r>
        <w:t xml:space="preserve">1. Polityka określa zasady korzystania z narzędzi sztucznej inteligencji (dalej: narzędzia AI) przy pracy dla </w:t>
      </w:r>
      <w:r>
        <w:rPr>
          <w:shd w:val="clear" w:color="auto" w:fill="DDEFD9"/>
        </w:rPr>
        <w:t xml:space="preserve">[nazwa firmy]</w:t>
      </w:r>
      <w:r>
        <w:t xml:space="preserve">.</w:t>
      </w:r>
    </w:p>
    <w:p>
      <w:pPr>
        <w:ind w:left="360" w:hanging="360"/>
      </w:pPr>
      <w:r>
        <w:t xml:space="preserve">2. Polityka obowiązuje pracowników, współpracowników na umowach cywilnoprawnych i B2B, praktykantów oraz stażystów (dalej: osoby pracujące dla firmy), niezależnie od tego, czy korzystają ze sprzętu firmowego, czy prywatnego.</w:t>
      </w:r>
    </w:p>
    <w:p>
      <w:pPr>
        <w:ind w:left="360" w:hanging="360"/>
      </w:pPr>
      <w:r>
        <w:t xml:space="preserve">3. Narzędziem AI jest każdy program lub funkcja, która tworzy tekst, obraz, dźwięk, kod lub podsumowanie albo podpowiada decyzję, także gdy jest częścią innego programu, na przykład pakietu biurowego, poczty lub CRM.</w:t>
      </w:r>
    </w:p>
    <w:p>
      <w:r>
        <w:rPr>
          <w:i/>
          <w:color w:val="5A6270"/>
          <w:sz w:val="18"/>
          <w:szCs w:val="18"/>
        </w:rPr>
        <w:t xml:space="preserve">Jak uzupełnić (usuń przed przyjęciem): Wpisz wszystkie formy współpracy, które macie. Punkt 3 obejmuje też funkcje AI wbudowane w programy, których już używacie.</w:t>
      </w:r>
    </w:p>
    <w:p>
      <w:pPr>
        <w:pStyle w:val="Heading1"/>
      </w:pPr>
      <w:r>
        <w:t xml:space="preserve">§ 2. Zatwierdzone narzędzia i konta</w:t>
      </w:r>
    </w:p>
    <w:p>
      <w:pPr>
        <w:ind w:left="360" w:hanging="360"/>
      </w:pPr>
      <w:r>
        <w:t xml:space="preserve">1. Do pracy dla firmy używamy wyłącznie narzędzi wpisanych do Rejestru narzędzi AI (załącznik nr 1), na kontach firmowych.</w:t>
      </w:r>
    </w:p>
    <w:p>
      <w:pPr>
        <w:ind w:left="360" w:hanging="360"/>
      </w:pPr>
      <w:r>
        <w:t xml:space="preserve">2. Do spraw firmy nie używamy prywatnych kont w narzędziach AI, także płatnych.</w:t>
      </w:r>
    </w:p>
    <w:p>
      <w:pPr>
        <w:ind w:left="360" w:hanging="360"/>
      </w:pPr>
      <w:r>
        <w:t xml:space="preserve">3. Nowe narzędzie zgłasza się do </w:t>
      </w:r>
      <w:r>
        <w:rPr>
          <w:shd w:val="clear" w:color="auto" w:fill="DDEFD9"/>
        </w:rPr>
        <w:t xml:space="preserve">[osoba lub adres]</w:t>
      </w:r>
      <w:r>
        <w:t xml:space="preserve">. Odpowiedź przychodzi w ciągu </w:t>
      </w:r>
      <w:r>
        <w:rPr>
          <w:shd w:val="clear" w:color="auto" w:fill="DDEFD9"/>
        </w:rPr>
        <w:t xml:space="preserve">[5]</w:t>
      </w:r>
      <w:r>
        <w:t xml:space="preserve"> dni roboczych. Do czasu decyzji narzędzia nie używamy z danymi firmy.</w:t>
      </w:r>
    </w:p>
    <w:p>
      <w:pPr>
        <w:ind w:left="360" w:hanging="360"/>
      </w:pPr>
      <w:r>
        <w:t xml:space="preserve">4. Narzędzie trafia do rejestru po sprawdzeniu: umowy z dostawcą, w tym umowy powierzenia przetwarzania danych, jeśli narzędzie ma przetwarzać dane osobowe; ustawień dotyczących trenowania modeli na naszych danych; miejsca przetwarzania danych; sposobu usuwania historii.</w:t>
      </w:r>
    </w:p>
    <w:p>
      <w:r>
        <w:rPr>
          <w:i/>
          <w:color w:val="5A6270"/>
          <w:sz w:val="18"/>
          <w:szCs w:val="18"/>
        </w:rPr>
        <w:t xml:space="preserve">Jak uzupełnić (usuń przed przyjęciem): Rejestr jest najważniejszą częścią polityki. Pozostałe paragrafy odwołują się do niego.</w:t>
      </w:r>
    </w:p>
    <w:p>
      <w:pPr>
        <w:pStyle w:val="Heading1"/>
      </w:pPr>
      <w:r>
        <w:t xml:space="preserve">§ 3. Dane</w:t>
      </w:r>
    </w:p>
    <w:p>
      <w:pPr>
        <w:ind w:left="360" w:hanging="360"/>
      </w:pPr>
      <w:r>
        <w:t xml:space="preserve">1. Dane dzielimy na trzy klasy opisane w załączniku nr 2: publiczne, wewnętrzne i chronione.</w:t>
      </w:r>
    </w:p>
    <w:p>
      <w:pPr>
        <w:ind w:left="360" w:hanging="360"/>
      </w:pPr>
      <w:r>
        <w:t xml:space="preserve">2. Dane publiczne wolno wpisywać do każdego narzędzia z rejestru.</w:t>
      </w:r>
    </w:p>
    <w:p>
      <w:pPr>
        <w:ind w:left="360" w:hanging="360"/>
      </w:pPr>
      <w:r>
        <w:t xml:space="preserve">3. Dane wewnętrzne wpisujemy tylko do narzędzi z rejestru, na koncie firmowym.</w:t>
      </w:r>
    </w:p>
    <w:p>
      <w:pPr>
        <w:ind w:left="360" w:hanging="360"/>
      </w:pPr>
      <w:r>
        <w:t xml:space="preserve">4. Dane chronione wpisujemy wyłącznie do narzędzi, które rejestr wprost dopuszcza dla danej kategorii danych. W innych przypadkach przed wpisaniem usuwamy dane identyfikujące albo wykonujemy zadanie bez AI.</w:t>
      </w:r>
    </w:p>
    <w:p>
      <w:pPr>
        <w:ind w:left="360" w:hanging="360"/>
      </w:pPr>
      <w:r>
        <w:t xml:space="preserve">5. W razie wątpliwości traktujemy dane jak chronione i pytamy </w:t>
      </w:r>
      <w:r>
        <w:rPr>
          <w:shd w:val="clear" w:color="auto" w:fill="DDEFD9"/>
        </w:rPr>
        <w:t xml:space="preserve">[osoba]</w:t>
      </w:r>
      <w:r>
        <w:t xml:space="preserve">.</w:t>
      </w:r>
    </w:p>
    <w:p>
      <w:r>
        <w:rPr>
          <w:i/>
          <w:color w:val="5A6270"/>
          <w:sz w:val="18"/>
          <w:szCs w:val="18"/>
        </w:rPr>
        <w:t xml:space="preserve">Jak uzupełnić (usuń przed przyjęciem): Przykłady w załączniku nr 2 dopasuj do branży. Biuro rachunkowe wpisze dane klientów biura, przychodnia dokumentację medyczną, software house kod klientów.</w:t>
      </w:r>
    </w:p>
    <w:p>
      <w:pPr>
        <w:pStyle w:val="Heading1"/>
      </w:pPr>
      <w:r>
        <w:t xml:space="preserve">§ 4. Sprawdzanie wyników i odpowiedzialność</w:t>
      </w:r>
    </w:p>
    <w:p>
      <w:pPr>
        <w:ind w:left="360" w:hanging="360"/>
      </w:pPr>
      <w:r>
        <w:t xml:space="preserve">1. Za tekst, kod, analizę lub decyzję przygotowaną z pomocą AI odpowiada osoba, która z nich korzysta.</w:t>
      </w:r>
    </w:p>
    <w:p>
      <w:pPr>
        <w:ind w:left="360" w:hanging="360"/>
      </w:pPr>
      <w:r>
        <w:t xml:space="preserve">2. Przed wysłaniem na zewnątrz lub użyciem w decyzji sprawdzamy wynik w źródle, w szczególności liczby, nazwy, cytaty i przepisy.</w:t>
      </w:r>
    </w:p>
    <w:p>
      <w:pPr>
        <w:ind w:left="360" w:hanging="360"/>
      </w:pPr>
      <w:r>
        <w:t xml:space="preserve">3. Treść dla klienta, urzędu lub partnera oraz każdą treść, która tworzy zobowiązanie firmy, zatwierdza człowiek.</w:t>
      </w:r>
    </w:p>
    <w:p>
      <w:r>
        <w:rPr>
          <w:i/>
          <w:color w:val="5A6270"/>
          <w:sz w:val="18"/>
          <w:szCs w:val="18"/>
        </w:rPr>
        <w:t xml:space="preserve">Jak uzupełnić (usuń przed przyjęciem): Punkt 1 rozstrzyga większość sporów po błędzie modelu. Odpowiada osoba, która z wyniku skorzystała.</w:t>
      </w:r>
    </w:p>
    <w:p>
      <w:pPr>
        <w:pStyle w:val="Heading1"/>
      </w:pPr>
      <w:r>
        <w:t xml:space="preserve">§ 5. Zastosowania wymagające zgody i zakazane</w:t>
      </w:r>
    </w:p>
    <w:p>
      <w:pPr>
        <w:ind w:left="360" w:hanging="360"/>
      </w:pPr>
      <w:r>
        <w:t xml:space="preserve">1. Bez zgody </w:t>
      </w:r>
      <w:r>
        <w:rPr>
          <w:shd w:val="clear" w:color="auto" w:fill="DDEFD9"/>
        </w:rPr>
        <w:t xml:space="preserve">[zarząd / osoba]</w:t>
      </w:r>
      <w:r>
        <w:t xml:space="preserve"> nie używamy AI do wyboru i oceny kandydatów oraz pracowników, decyzji o wynagrodzeniu, awansie lub zakończeniu współpracy, oceny wiarygodności finansowej klientów ani innych decyzji istotnie wpływających na ludzi. Wynik narzędzia nie może być jedyną podstawą takiej decyzji.</w:t>
      </w:r>
    </w:p>
    <w:p>
      <w:pPr>
        <w:ind w:left="360" w:hanging="360"/>
      </w:pPr>
      <w:r>
        <w:t xml:space="preserve">2. Nie stosujemy praktyk zakazanych w art. 5 AI Act, w tym systemów rozpoznających emocje osób w miejscu pracy.</w:t>
      </w:r>
    </w:p>
    <w:p>
      <w:r>
        <w:rPr>
          <w:i/>
          <w:color w:val="5A6270"/>
          <w:sz w:val="18"/>
          <w:szCs w:val="18"/>
        </w:rPr>
        <w:t xml:space="preserve">Jak uzupełnić (usuń przed przyjęciem): Systemy AI do rekrutacji i oceny pracowników AI Act zalicza do wysokiego ryzyka. Obowiązki z załącznika III stosuje się od 2 grudnia 2027. Taki projekt wymaga osobnej analizy.</w:t>
      </w:r>
    </w:p>
    <w:p>
      <w:pPr>
        <w:pStyle w:val="Heading1"/>
      </w:pPr>
      <w:r>
        <w:t xml:space="preserve">§ 6. Oznaczanie treści i rozmów z AI</w:t>
      </w:r>
    </w:p>
    <w:p>
      <w:pPr>
        <w:ind w:left="360" w:hanging="360"/>
      </w:pPr>
      <w:r>
        <w:t xml:space="preserve">1. Klient, który rozmawia z naszym czatem lub voicebotem, dowiaduje się na początku rozmowy, że rozmawia z systemem AI.</w:t>
      </w:r>
    </w:p>
    <w:p>
      <w:pPr>
        <w:ind w:left="360" w:hanging="360"/>
      </w:pPr>
      <w:r>
        <w:t xml:space="preserve">2. Obraz, nagranie lub dźwięk wygenerowany albo zmieniony przez AI, który można wziąć za prawdziwy, oznaczamy przy publikacji.</w:t>
      </w:r>
    </w:p>
    <w:p>
      <w:pPr>
        <w:ind w:left="360" w:hanging="360"/>
      </w:pPr>
      <w:r>
        <w:t xml:space="preserve">3. Tekst o sprawach publicznych przygotowany przez AI oznaczamy, chyba że przed publikacją zredagowała go osoba, która odpowiada za treść.</w:t>
      </w:r>
    </w:p>
    <w:p>
      <w:r>
        <w:rPr>
          <w:i/>
          <w:color w:val="5A6270"/>
          <w:sz w:val="18"/>
          <w:szCs w:val="18"/>
        </w:rPr>
        <w:t xml:space="preserve">Jak uzupełnić (usuń przed przyjęciem): Obowiązki z art. 50 AI Act stosuje się od 2 sierpnia 2026. Jeśli nie macie czatu dla klientów, punkt 1 zostaw na przyszłość.</w:t>
      </w:r>
    </w:p>
    <w:p>
      <w:pPr>
        <w:pStyle w:val="Heading1"/>
      </w:pPr>
      <w:r>
        <w:t xml:space="preserve">§ 7. Prawa do treści i wizerunku</w:t>
      </w:r>
    </w:p>
    <w:p>
      <w:pPr>
        <w:ind w:left="360" w:hanging="360"/>
      </w:pPr>
      <w:r>
        <w:t xml:space="preserve">1. Przed publikacją materiałów przygotowanych z pomocą AI sprawdzamy, czy nie powielają cudzych utworów, znaków towarowych ani wizerunku osób.</w:t>
      </w:r>
    </w:p>
    <w:p>
      <w:pPr>
        <w:ind w:left="360" w:hanging="360"/>
      </w:pPr>
      <w:r>
        <w:t xml:space="preserve">2. Nie generujemy wizerunku ani głosu realnych osób bez ich zgody.</w:t>
      </w:r>
    </w:p>
    <w:p>
      <w:pPr>
        <w:ind w:left="360" w:hanging="360"/>
      </w:pPr>
      <w:r>
        <w:t xml:space="preserve">3. Nie wprowadzamy do narzędzi AI materiałów, których umowa lub licencja nie pozwala przetwarzać w ten sposób.</w:t>
      </w:r>
    </w:p>
    <w:p>
      <w:r>
        <w:rPr>
          <w:i/>
          <w:color w:val="5A6270"/>
          <w:sz w:val="18"/>
          <w:szCs w:val="18"/>
        </w:rPr>
        <w:t xml:space="preserve">Jak uzupełnić (usuń przed przyjęciem): Dotyczy głównie marketingu i sprzedaży. Jeśli pracujecie z agencją, dopiszcie te zasady do umowy z nią.</w:t>
      </w:r>
    </w:p>
    <w:p>
      <w:pPr>
        <w:pStyle w:val="Heading1"/>
      </w:pPr>
      <w:r>
        <w:t xml:space="preserve">§ 8. Kompetencje i szkolenia</w:t>
      </w:r>
    </w:p>
    <w:p>
      <w:pPr>
        <w:ind w:left="360" w:hanging="360"/>
      </w:pPr>
      <w:r>
        <w:t xml:space="preserve">1. Każda osoba korzystająca z AI przechodzi szkolenie wprowadzające w ciągu </w:t>
      </w:r>
      <w:r>
        <w:rPr>
          <w:shd w:val="clear" w:color="auto" w:fill="DDEFD9"/>
        </w:rPr>
        <w:t xml:space="preserve">[30]</w:t>
      </w:r>
      <w:r>
        <w:t xml:space="preserve"> dni od rozpoczęcia pracy lub otrzymania dostępu do narzędzia, a potem odświeżenie </w:t>
      </w:r>
      <w:r>
        <w:rPr>
          <w:shd w:val="clear" w:color="auto" w:fill="DDEFD9"/>
        </w:rPr>
        <w:t xml:space="preserve">[raz w roku]</w:t>
      </w:r>
      <w:r>
        <w:t xml:space="preserve">.</w:t>
      </w:r>
    </w:p>
    <w:p>
      <w:pPr>
        <w:ind w:left="360" w:hanging="360"/>
      </w:pPr>
      <w:r>
        <w:t xml:space="preserve">2. Szkolenie obejmuje co najmniej: działanie używanego narzędzia, typowe błędy, dane, których nie wolno przekazywać, i sposób zgłaszania problemu. Osoby, które konfigurują narzędzia lub za nie odpowiadają, przechodzą szerszy program.</w:t>
      </w:r>
    </w:p>
    <w:p>
      <w:pPr>
        <w:ind w:left="360" w:hanging="360"/>
      </w:pPr>
      <w:r>
        <w:t xml:space="preserve">3. </w:t>
      </w:r>
      <w:r>
        <w:rPr>
          <w:shd w:val="clear" w:color="auto" w:fill="DDEFD9"/>
        </w:rPr>
        <w:t xml:space="preserve">[Osoba]</w:t>
      </w:r>
      <w:r>
        <w:t xml:space="preserve"> prowadzi rejestr szkoleń: kto, kiedy i w jakim zakresie.</w:t>
      </w:r>
    </w:p>
    <w:p>
      <w:r>
        <w:rPr>
          <w:i/>
          <w:color w:val="5A6270"/>
          <w:sz w:val="18"/>
          <w:szCs w:val="18"/>
        </w:rPr>
        <w:t xml:space="preserve">Jak uzupełnić (usuń przed przyjęciem): Art. 4 AI Act wymaga działań wspierających kompetencje AI. Certyfikat nie jest potrzebny. Rejestr szkoleń jest najprostszym dowodem tych działań.</w:t>
      </w:r>
    </w:p>
    <w:p>
      <w:pPr>
        <w:pStyle w:val="Heading1"/>
      </w:pPr>
      <w:r>
        <w:t xml:space="preserve">§ 9. Incydenty</w:t>
      </w:r>
    </w:p>
    <w:p>
      <w:pPr>
        <w:ind w:left="360" w:hanging="360"/>
      </w:pPr>
      <w:r>
        <w:t xml:space="preserve">1. Niezwłocznie zgłaszamy do </w:t>
      </w:r>
      <w:r>
        <w:rPr>
          <w:shd w:val="clear" w:color="auto" w:fill="DDEFD9"/>
        </w:rPr>
        <w:t xml:space="preserve">[osoba lub adres]</w:t>
      </w:r>
      <w:r>
        <w:t xml:space="preserve"> i przełożonego: wpisanie danych chronionych do niedozwolonego narzędzia, istotny błąd wyniku AI użyty na zewnątrz lub w decyzji, podejrzenie wycieku danych i nietypowe działanie narzędzia.</w:t>
      </w:r>
    </w:p>
    <w:p>
      <w:pPr>
        <w:ind w:left="360" w:hanging="360"/>
      </w:pPr>
      <w:r>
        <w:t xml:space="preserve">2. Zgłoszenie w dobrej wierze nie jest podstawą do kary. Ukrycie incydentu jest naruszeniem polityki.</w:t>
      </w:r>
    </w:p>
    <w:p>
      <w:pPr>
        <w:ind w:left="360" w:hanging="360"/>
      </w:pPr>
      <w:r>
        <w:t xml:space="preserve">3. Jeśli incydent dotyczy danych osobowych, </w:t>
      </w:r>
      <w:r>
        <w:rPr>
          <w:shd w:val="clear" w:color="auto" w:fill="DDEFD9"/>
        </w:rPr>
        <w:t xml:space="preserve">[osoba / inspektor ochrony danych]</w:t>
      </w:r>
      <w:r>
        <w:t xml:space="preserve"> ocenia, czy trzeba zgłosić naruszenie Prezesowi UODO. Na zgłoszenie są 72 godziny od stwierdzenia naruszenia.</w:t>
      </w:r>
    </w:p>
    <w:p>
      <w:r>
        <w:rPr>
          <w:i/>
          <w:color w:val="5A6270"/>
          <w:sz w:val="18"/>
          <w:szCs w:val="18"/>
        </w:rPr>
        <w:t xml:space="preserve">Jak uzupełnić (usuń przed przyjęciem): Termin 72 godzin wynika z art. 33 RODO, dlatego zgłoszenie wewnętrzne liczy się w godzinach.</w:t>
      </w:r>
    </w:p>
    <w:p>
      <w:pPr>
        <w:pStyle w:val="Heading1"/>
      </w:pPr>
      <w:r>
        <w:t xml:space="preserve">§ 10. Opiekun polityki, przegląd i naruszenia</w:t>
      </w:r>
    </w:p>
    <w:p>
      <w:pPr>
        <w:ind w:left="360" w:hanging="360"/>
      </w:pPr>
      <w:r>
        <w:t xml:space="preserve">1. Za politykę i rejestr narzędzi odpowiada </w:t>
      </w:r>
      <w:r>
        <w:rPr>
          <w:shd w:val="clear" w:color="auto" w:fill="DDEFD9"/>
        </w:rPr>
        <w:t xml:space="preserve">[stanowisko, imię i nazwisko]</w:t>
      </w:r>
      <w:r>
        <w:t xml:space="preserve"> (Opiekun polityki).</w:t>
      </w:r>
    </w:p>
    <w:p>
      <w:pPr>
        <w:ind w:left="360" w:hanging="360"/>
      </w:pPr>
      <w:r>
        <w:t xml:space="preserve">2. Opiekun przegląda politykę i rejestr co </w:t>
      </w:r>
      <w:r>
        <w:rPr>
          <w:shd w:val="clear" w:color="auto" w:fill="DDEFD9"/>
        </w:rPr>
        <w:t xml:space="preserve">[6]</w:t>
      </w:r>
      <w:r>
        <w:t xml:space="preserve"> miesięcy oraz po istotnej zmianie przepisów, zmianie planu lub warunków narzędzia i po każdym incydencie.</w:t>
      </w:r>
    </w:p>
    <w:p>
      <w:pPr>
        <w:ind w:left="360" w:hanging="360"/>
      </w:pPr>
      <w:r>
        <w:t xml:space="preserve">3. Naruszenie polityki może skutkować konsekwencjami przewidzianymi w umowie lub w przepisach prawa pracy.</w:t>
      </w:r>
    </w:p>
    <w:p>
      <w:r>
        <w:rPr>
          <w:i/>
          <w:color w:val="5A6270"/>
          <w:sz w:val="18"/>
          <w:szCs w:val="18"/>
        </w:rPr>
        <w:t xml:space="preserve">Jak uzupełnić (usuń przed przyjęciem): W małej firmie Opiekunem bywa właściciel albo kierownik biura. W dokumencie powinno być konkretne nazwisko.</w:t>
      </w:r>
    </w:p>
    <w:p>
      <w:pPr>
        <w:pStyle w:val="Heading1"/>
        <w:pageBreakBefore/>
      </w:pPr>
      <w:r>
        <w:t xml:space="preserve">Załącznik nr 1. Rejestr narzędzi AI</w:t>
      </w:r>
    </w:p>
    <w:p>
      <w:r>
        <w:t xml:space="preserve">Jeden wiersz to jedno narzędzie na jednym planie. Wiersze poniżej są przykładowe i do zastąpienia.</w:t>
      </w:r>
    </w:p>
    <w:tbl>
      <w:tblPr>
        <w:tblStyle w:val="TableGrid"/>
        <w:tblW w:w="5000" w:type="pct"/>
      </w:tblPr>
      <w:tblGrid>
        <w:gridCol w:w="1337"/>
        <w:gridCol w:w="1337"/>
        <w:gridCol w:w="1337"/>
        <w:gridCol w:w="1337"/>
        <w:gridCol w:w="1337"/>
        <w:gridCol w:w="1337"/>
        <w:gridCol w:w="1337"/>
      </w:tblGrid>
      <w:tr>
        <w:trPr>
          <w:tblHeader/>
        </w:trPr>
        <w:tc>
          <w:tcPr>
            <w:tcW w:w="1337" w:type="dxa"/>
            <w:shd w:val="clear" w:color="auto" w:fill="EEF0F2"/>
          </w:tcPr>
          <w:p>
            <w:pPr>
              <w:spacing w:after="0"/>
            </w:pPr>
            <w:r>
              <w:rPr>
                <w:b/>
                <w:sz w:val="18"/>
                <w:szCs w:val="18"/>
              </w:rPr>
              <w:t xml:space="preserve">Narzędzie i plan</w:t>
            </w:r>
          </w:p>
        </w:tc>
        <w:tc>
          <w:tcPr>
            <w:tcW w:w="1337" w:type="dxa"/>
            <w:shd w:val="clear" w:color="auto" w:fill="EEF0F2"/>
          </w:tcPr>
          <w:p>
            <w:pPr>
              <w:spacing w:after="0"/>
            </w:pPr>
            <w:r>
              <w:rPr>
                <w:b/>
                <w:sz w:val="18"/>
                <w:szCs w:val="18"/>
              </w:rPr>
              <w:t xml:space="preserve">Do czego</w:t>
            </w:r>
          </w:p>
        </w:tc>
        <w:tc>
          <w:tcPr>
            <w:tcW w:w="1337" w:type="dxa"/>
            <w:shd w:val="clear" w:color="auto" w:fill="EEF0F2"/>
          </w:tcPr>
          <w:p>
            <w:pPr>
              <w:spacing w:after="0"/>
            </w:pPr>
            <w:r>
              <w:rPr>
                <w:b/>
                <w:sz w:val="18"/>
                <w:szCs w:val="18"/>
              </w:rPr>
              <w:t xml:space="preserve">Dozwolone dane</w:t>
            </w:r>
          </w:p>
        </w:tc>
        <w:tc>
          <w:tcPr>
            <w:tcW w:w="1337" w:type="dxa"/>
            <w:shd w:val="clear" w:color="auto" w:fill="EEF0F2"/>
          </w:tcPr>
          <w:p>
            <w:pPr>
              <w:spacing w:after="0"/>
            </w:pPr>
            <w:r>
              <w:rPr>
                <w:b/>
                <w:sz w:val="18"/>
                <w:szCs w:val="18"/>
              </w:rPr>
              <w:t xml:space="preserve">Umowa powierzenia</w:t>
            </w:r>
          </w:p>
        </w:tc>
        <w:tc>
          <w:tcPr>
            <w:tcW w:w="1337" w:type="dxa"/>
            <w:shd w:val="clear" w:color="auto" w:fill="EEF0F2"/>
          </w:tcPr>
          <w:p>
            <w:pPr>
              <w:spacing w:after="0"/>
            </w:pPr>
            <w:r>
              <w:rPr>
                <w:b/>
                <w:sz w:val="18"/>
                <w:szCs w:val="18"/>
              </w:rPr>
              <w:t xml:space="preserve">Trenowanie na naszych danych</w:t>
            </w:r>
          </w:p>
        </w:tc>
        <w:tc>
          <w:tcPr>
            <w:tcW w:w="1337" w:type="dxa"/>
            <w:shd w:val="clear" w:color="auto" w:fill="EEF0F2"/>
          </w:tcPr>
          <w:p>
            <w:pPr>
              <w:spacing w:after="0"/>
            </w:pPr>
            <w:r>
              <w:rPr>
                <w:b/>
                <w:sz w:val="18"/>
                <w:szCs w:val="18"/>
              </w:rPr>
              <w:t xml:space="preserve">Opiekun</w:t>
            </w:r>
          </w:p>
        </w:tc>
        <w:tc>
          <w:tcPr>
            <w:tcW w:w="1337" w:type="dxa"/>
            <w:shd w:val="clear" w:color="auto" w:fill="EEF0F2"/>
          </w:tcPr>
          <w:p>
            <w:pPr>
              <w:spacing w:after="0"/>
            </w:pPr>
            <w:r>
              <w:rPr>
                <w:b/>
                <w:sz w:val="18"/>
                <w:szCs w:val="18"/>
              </w:rPr>
              <w:t xml:space="preserve">Przegląd</w:t>
            </w:r>
          </w:p>
        </w:tc>
      </w:tr>
      <w:tr>
        <w:tc>
          <w:tcPr>
            <w:tcW w:w="1337" w:type="dxa"/>
          </w:tcPr>
          <w:p>
            <w:pPr>
              <w:spacing w:after="0"/>
            </w:pPr>
            <w:r>
              <w:rPr>
                <w:sz w:val="18"/>
                <w:szCs w:val="18"/>
                <w:shd w:val="clear" w:color="auto" w:fill="DDEFD9"/>
              </w:rPr>
              <w:t xml:space="preserve">[asystent czatu, plan firmowy]</w:t>
            </w:r>
          </w:p>
        </w:tc>
        <w:tc>
          <w:tcPr>
            <w:tcW w:w="1337" w:type="dxa"/>
          </w:tcPr>
          <w:p>
            <w:pPr>
              <w:spacing w:after="0"/>
            </w:pPr>
            <w:r>
              <w:rPr>
                <w:sz w:val="18"/>
                <w:szCs w:val="18"/>
              </w:rPr>
              <w:t xml:space="preserve">szkice, tłumaczenia, streszczenia</w:t>
            </w:r>
          </w:p>
        </w:tc>
        <w:tc>
          <w:tcPr>
            <w:tcW w:w="1337" w:type="dxa"/>
          </w:tcPr>
          <w:p>
            <w:pPr>
              <w:spacing w:after="0"/>
            </w:pPr>
            <w:r>
              <w:rPr>
                <w:sz w:val="18"/>
                <w:szCs w:val="18"/>
              </w:rPr>
              <w:t xml:space="preserve">publiczne, wewnętrzne</w:t>
            </w:r>
          </w:p>
        </w:tc>
        <w:tc>
          <w:tcPr>
            <w:tcW w:w="1337" w:type="dxa"/>
          </w:tcPr>
          <w:p>
            <w:pPr>
              <w:spacing w:after="0"/>
            </w:pPr>
            <w:r>
              <w:rPr>
                <w:sz w:val="18"/>
                <w:szCs w:val="18"/>
                <w:shd w:val="clear" w:color="auto" w:fill="DDEFD9"/>
              </w:rPr>
              <w:t xml:space="preserve">[podpisana / nie dotyczy]</w:t>
            </w:r>
          </w:p>
        </w:tc>
        <w:tc>
          <w:tcPr>
            <w:tcW w:w="1337" w:type="dxa"/>
          </w:tcPr>
          <w:p>
            <w:pPr>
              <w:spacing w:after="0"/>
            </w:pPr>
            <w:r>
              <w:rPr>
                <w:sz w:val="18"/>
                <w:szCs w:val="18"/>
                <w:shd w:val="clear" w:color="auto" w:fill="DDEFD9"/>
              </w:rPr>
              <w:t xml:space="preserve">[wyłączone]</w:t>
            </w:r>
          </w:p>
        </w:tc>
        <w:tc>
          <w:tcPr>
            <w:tcW w:w="1337" w:type="dxa"/>
          </w:tcPr>
          <w:p>
            <w:pPr>
              <w:spacing w:after="0"/>
            </w:pPr>
            <w:r>
              <w:rPr>
                <w:sz w:val="18"/>
                <w:szCs w:val="18"/>
                <w:shd w:val="clear" w:color="auto" w:fill="DDEFD9"/>
              </w:rPr>
              <w:t xml:space="preserve">[osoba]</w:t>
            </w:r>
          </w:p>
        </w:tc>
        <w:tc>
          <w:tcPr>
            <w:tcW w:w="1337" w:type="dxa"/>
          </w:tcPr>
          <w:p>
            <w:pPr>
              <w:spacing w:after="0"/>
            </w:pPr>
            <w:r>
              <w:rPr>
                <w:sz w:val="18"/>
                <w:szCs w:val="18"/>
                <w:shd w:val="clear" w:color="auto" w:fill="DDEFD9"/>
              </w:rPr>
              <w:t xml:space="preserve">[data]</w:t>
            </w:r>
          </w:p>
        </w:tc>
      </w:tr>
      <w:tr>
        <w:tc>
          <w:tcPr>
            <w:tcW w:w="1337" w:type="dxa"/>
          </w:tcPr>
          <w:p>
            <w:pPr>
              <w:spacing w:after="0"/>
            </w:pPr>
            <w:r>
              <w:rPr>
                <w:sz w:val="18"/>
                <w:szCs w:val="18"/>
                <w:shd w:val="clear" w:color="auto" w:fill="DDEFD9"/>
              </w:rPr>
              <w:t xml:space="preserve">[funkcje AI w pakiecie biurowym]</w:t>
            </w:r>
          </w:p>
        </w:tc>
        <w:tc>
          <w:tcPr>
            <w:tcW w:w="1337" w:type="dxa"/>
          </w:tcPr>
          <w:p>
            <w:pPr>
              <w:spacing w:after="0"/>
            </w:pPr>
            <w:r>
              <w:rPr>
                <w:sz w:val="18"/>
                <w:szCs w:val="18"/>
              </w:rPr>
              <w:t xml:space="preserve">notatki ze spotkań, podsumowania dokumentów</w:t>
            </w:r>
          </w:p>
        </w:tc>
        <w:tc>
          <w:tcPr>
            <w:tcW w:w="1337" w:type="dxa"/>
          </w:tcPr>
          <w:p>
            <w:pPr>
              <w:spacing w:after="0"/>
            </w:pPr>
            <w:r>
              <w:rPr>
                <w:sz w:val="18"/>
                <w:szCs w:val="18"/>
              </w:rPr>
              <w:t xml:space="preserve">publiczne, wewnętrzne, </w:t>
            </w:r>
            <w:r>
              <w:rPr>
                <w:sz w:val="18"/>
                <w:szCs w:val="18"/>
                <w:shd w:val="clear" w:color="auto" w:fill="DDEFD9"/>
              </w:rPr>
              <w:t xml:space="preserve">[chronione: wskaż kategorie]</w:t>
            </w:r>
          </w:p>
        </w:tc>
        <w:tc>
          <w:tcPr>
            <w:tcW w:w="1337" w:type="dxa"/>
          </w:tcPr>
          <w:p>
            <w:pPr>
              <w:spacing w:after="0"/>
            </w:pPr>
            <w:r>
              <w:rPr>
                <w:sz w:val="18"/>
                <w:szCs w:val="18"/>
                <w:shd w:val="clear" w:color="auto" w:fill="DDEFD9"/>
              </w:rPr>
              <w:t xml:space="preserve">[podpisana]</w:t>
            </w:r>
          </w:p>
        </w:tc>
        <w:tc>
          <w:tcPr>
            <w:tcW w:w="1337" w:type="dxa"/>
          </w:tcPr>
          <w:p>
            <w:pPr>
              <w:spacing w:after="0"/>
            </w:pPr>
            <w:r>
              <w:rPr>
                <w:sz w:val="18"/>
                <w:szCs w:val="18"/>
                <w:shd w:val="clear" w:color="auto" w:fill="DDEFD9"/>
              </w:rPr>
              <w:t xml:space="preserve">[wyłączone]</w:t>
            </w:r>
          </w:p>
        </w:tc>
        <w:tc>
          <w:tcPr>
            <w:tcW w:w="1337" w:type="dxa"/>
          </w:tcPr>
          <w:p>
            <w:pPr>
              <w:spacing w:after="0"/>
            </w:pPr>
            <w:r>
              <w:rPr>
                <w:sz w:val="18"/>
                <w:szCs w:val="18"/>
                <w:shd w:val="clear" w:color="auto" w:fill="DDEFD9"/>
              </w:rPr>
              <w:t xml:space="preserve">[osoba]</w:t>
            </w:r>
          </w:p>
        </w:tc>
        <w:tc>
          <w:tcPr>
            <w:tcW w:w="1337" w:type="dxa"/>
          </w:tcPr>
          <w:p>
            <w:pPr>
              <w:spacing w:after="0"/>
            </w:pPr>
            <w:r>
              <w:rPr>
                <w:sz w:val="18"/>
                <w:szCs w:val="18"/>
                <w:shd w:val="clear" w:color="auto" w:fill="DDEFD9"/>
              </w:rPr>
              <w:t xml:space="preserve">[data]</w:t>
            </w:r>
          </w:p>
        </w:tc>
      </w:tr>
      <w:tr>
        <w:tc>
          <w:tcPr>
            <w:tcW w:w="1337" w:type="dxa"/>
          </w:tcPr>
          <w:p>
            <w:pPr>
              <w:spacing w:after="0"/>
            </w:pPr>
            <w:r>
              <w:rPr>
                <w:sz w:val="18"/>
                <w:szCs w:val="18"/>
                <w:shd w:val="clear" w:color="auto" w:fill="DDEFD9"/>
              </w:rPr>
              <w:t xml:space="preserve">[czat dla klientów na stronie]</w:t>
            </w:r>
          </w:p>
        </w:tc>
        <w:tc>
          <w:tcPr>
            <w:tcW w:w="1337" w:type="dxa"/>
          </w:tcPr>
          <w:p>
            <w:pPr>
              <w:spacing w:after="0"/>
            </w:pPr>
            <w:r>
              <w:rPr>
                <w:sz w:val="18"/>
                <w:szCs w:val="18"/>
              </w:rPr>
              <w:t xml:space="preserve">odpowiedzi na pytania o ofertę</w:t>
            </w:r>
          </w:p>
        </w:tc>
        <w:tc>
          <w:tcPr>
            <w:tcW w:w="1337" w:type="dxa"/>
          </w:tcPr>
          <w:p>
            <w:pPr>
              <w:spacing w:after="0"/>
            </w:pPr>
            <w:r>
              <w:rPr>
                <w:sz w:val="18"/>
                <w:szCs w:val="18"/>
              </w:rPr>
              <w:t xml:space="preserve">publiczne</w:t>
            </w:r>
          </w:p>
        </w:tc>
        <w:tc>
          <w:tcPr>
            <w:tcW w:w="1337" w:type="dxa"/>
          </w:tcPr>
          <w:p>
            <w:pPr>
              <w:spacing w:after="0"/>
            </w:pPr>
            <w:r>
              <w:rPr>
                <w:sz w:val="18"/>
                <w:szCs w:val="18"/>
                <w:shd w:val="clear" w:color="auto" w:fill="DDEFD9"/>
              </w:rPr>
              <w:t xml:space="preserve">[podpisana]</w:t>
            </w:r>
          </w:p>
        </w:tc>
        <w:tc>
          <w:tcPr>
            <w:tcW w:w="1337" w:type="dxa"/>
          </w:tcPr>
          <w:p>
            <w:pPr>
              <w:spacing w:after="0"/>
            </w:pPr>
            <w:r>
              <w:rPr>
                <w:sz w:val="18"/>
                <w:szCs w:val="18"/>
                <w:shd w:val="clear" w:color="auto" w:fill="DDEFD9"/>
              </w:rPr>
              <w:t xml:space="preserve">[wyłączone]</w:t>
            </w:r>
          </w:p>
        </w:tc>
        <w:tc>
          <w:tcPr>
            <w:tcW w:w="1337" w:type="dxa"/>
          </w:tcPr>
          <w:p>
            <w:pPr>
              <w:spacing w:after="0"/>
            </w:pPr>
            <w:r>
              <w:rPr>
                <w:sz w:val="18"/>
                <w:szCs w:val="18"/>
                <w:shd w:val="clear" w:color="auto" w:fill="DDEFD9"/>
              </w:rPr>
              <w:t xml:space="preserve">[osoba]</w:t>
            </w:r>
          </w:p>
        </w:tc>
        <w:tc>
          <w:tcPr>
            <w:tcW w:w="1337" w:type="dxa"/>
          </w:tcPr>
          <w:p>
            <w:pPr>
              <w:spacing w:after="0"/>
            </w:pPr>
            <w:r>
              <w:rPr>
                <w:sz w:val="18"/>
                <w:szCs w:val="18"/>
                <w:shd w:val="clear" w:color="auto" w:fill="DDEFD9"/>
              </w:rPr>
              <w:t xml:space="preserve">[data]</w:t>
            </w:r>
          </w:p>
        </w:tc>
      </w:tr>
    </w:tbl>
    <w:p>
      <w:pPr>
        <w:spacing w:after="120"/>
      </w:pPr>
    </w:p>
    <w:p>
      <w:r>
        <w:rPr>
          <w:i/>
          <w:color w:val="5A6270"/>
          <w:sz w:val="18"/>
          <w:szCs w:val="18"/>
        </w:rPr>
        <w:t xml:space="preserve">Jak uzupełnić (usuń przed przyjęciem): Ustawienia trenowania i warunki planów zmieniają się kilka razy w roku. Dlatego każdy wiersz ma datę przeglądu.</w:t>
      </w:r>
    </w:p>
    <w:p>
      <w:pPr>
        <w:pStyle w:val="Heading1"/>
      </w:pPr>
      <w:r>
        <w:t xml:space="preserve">Załącznik nr 2. Klasy danych</w:t>
      </w:r>
    </w:p>
    <w:tbl>
      <w:tblPr>
        <w:tblStyle w:val="TableGrid"/>
        <w:tblW w:w="5000" w:type="pct"/>
      </w:tblPr>
      <w:tblGrid>
        <w:gridCol w:w="3120"/>
        <w:gridCol w:w="3120"/>
        <w:gridCol w:w="3120"/>
      </w:tblGrid>
      <w:tr>
        <w:trPr>
          <w:tblHeader/>
        </w:trPr>
        <w:tc>
          <w:tcPr>
            <w:tcW w:w="3120" w:type="dxa"/>
            <w:shd w:val="clear" w:color="auto" w:fill="EEF0F2"/>
          </w:tcPr>
          <w:p>
            <w:pPr>
              <w:spacing w:after="0"/>
            </w:pPr>
            <w:r>
              <w:rPr>
                <w:b/>
                <w:sz w:val="18"/>
                <w:szCs w:val="18"/>
              </w:rPr>
              <w:t xml:space="preserve">Klasa</w:t>
            </w:r>
          </w:p>
        </w:tc>
        <w:tc>
          <w:tcPr>
            <w:tcW w:w="3120" w:type="dxa"/>
            <w:shd w:val="clear" w:color="auto" w:fill="EEF0F2"/>
          </w:tcPr>
          <w:p>
            <w:pPr>
              <w:spacing w:after="0"/>
            </w:pPr>
            <w:r>
              <w:rPr>
                <w:b/>
                <w:sz w:val="18"/>
                <w:szCs w:val="18"/>
              </w:rPr>
              <w:t xml:space="preserve">Przykłady</w:t>
            </w:r>
          </w:p>
        </w:tc>
        <w:tc>
          <w:tcPr>
            <w:tcW w:w="3120" w:type="dxa"/>
            <w:shd w:val="clear" w:color="auto" w:fill="EEF0F2"/>
          </w:tcPr>
          <w:p>
            <w:pPr>
              <w:spacing w:after="0"/>
            </w:pPr>
            <w:r>
              <w:rPr>
                <w:b/>
                <w:sz w:val="18"/>
                <w:szCs w:val="18"/>
              </w:rPr>
              <w:t xml:space="preserve">Gdzie wolno wpisać</w:t>
            </w:r>
          </w:p>
        </w:tc>
      </w:tr>
      <w:tr>
        <w:tc>
          <w:tcPr>
            <w:tcW w:w="3120" w:type="dxa"/>
          </w:tcPr>
          <w:p>
            <w:pPr>
              <w:spacing w:after="0"/>
            </w:pPr>
            <w:r>
              <w:rPr>
                <w:sz w:val="18"/>
                <w:szCs w:val="18"/>
              </w:rPr>
              <w:t xml:space="preserve">Publiczne</w:t>
            </w:r>
          </w:p>
        </w:tc>
        <w:tc>
          <w:tcPr>
            <w:tcW w:w="3120" w:type="dxa"/>
          </w:tcPr>
          <w:p>
            <w:pPr>
              <w:spacing w:after="0"/>
            </w:pPr>
            <w:r>
              <w:rPr>
                <w:sz w:val="18"/>
                <w:szCs w:val="18"/>
              </w:rPr>
              <w:t xml:space="preserve">treści z naszej strony, opublikowane oferty i cenniki, ogólne pytania bez danych firmy</w:t>
            </w:r>
          </w:p>
        </w:tc>
        <w:tc>
          <w:tcPr>
            <w:tcW w:w="3120" w:type="dxa"/>
          </w:tcPr>
          <w:p>
            <w:pPr>
              <w:spacing w:after="0"/>
            </w:pPr>
            <w:r>
              <w:rPr>
                <w:sz w:val="18"/>
                <w:szCs w:val="18"/>
              </w:rPr>
              <w:t xml:space="preserve">każde narzędzie z rejestru</w:t>
            </w:r>
          </w:p>
        </w:tc>
      </w:tr>
      <w:tr>
        <w:tc>
          <w:tcPr>
            <w:tcW w:w="3120" w:type="dxa"/>
          </w:tcPr>
          <w:p>
            <w:pPr>
              <w:spacing w:after="0"/>
            </w:pPr>
            <w:r>
              <w:rPr>
                <w:sz w:val="18"/>
                <w:szCs w:val="18"/>
              </w:rPr>
              <w:t xml:space="preserve">Wewnętrzne</w:t>
            </w:r>
          </w:p>
        </w:tc>
        <w:tc>
          <w:tcPr>
            <w:tcW w:w="3120" w:type="dxa"/>
          </w:tcPr>
          <w:p>
            <w:pPr>
              <w:spacing w:after="0"/>
            </w:pPr>
            <w:r>
              <w:rPr>
                <w:sz w:val="18"/>
                <w:szCs w:val="18"/>
              </w:rPr>
              <w:t xml:space="preserve">wewnętrzne szkice i notatki, procedury bez danych osobowych, zestawienia bez nazw klientów</w:t>
            </w:r>
          </w:p>
        </w:tc>
        <w:tc>
          <w:tcPr>
            <w:tcW w:w="3120" w:type="dxa"/>
          </w:tcPr>
          <w:p>
            <w:pPr>
              <w:spacing w:after="0"/>
            </w:pPr>
            <w:r>
              <w:rPr>
                <w:sz w:val="18"/>
                <w:szCs w:val="18"/>
              </w:rPr>
              <w:t xml:space="preserve">narzędzia z rejestru, wyłącznie konto firmowe</w:t>
            </w:r>
          </w:p>
        </w:tc>
      </w:tr>
      <w:tr>
        <w:tc>
          <w:tcPr>
            <w:tcW w:w="3120" w:type="dxa"/>
          </w:tcPr>
          <w:p>
            <w:pPr>
              <w:spacing w:after="0"/>
            </w:pPr>
            <w:r>
              <w:rPr>
                <w:sz w:val="18"/>
                <w:szCs w:val="18"/>
              </w:rPr>
              <w:t xml:space="preserve">Chronione</w:t>
            </w:r>
          </w:p>
        </w:tc>
        <w:tc>
          <w:tcPr>
            <w:tcW w:w="3120" w:type="dxa"/>
          </w:tcPr>
          <w:p>
            <w:pPr>
              <w:spacing w:after="0"/>
            </w:pPr>
            <w:r>
              <w:rPr>
                <w:sz w:val="18"/>
                <w:szCs w:val="18"/>
              </w:rPr>
              <w:t xml:space="preserve">dane osobowe klientów i pracowników, dane o zdrowiu, treść umów, niepubliczne dane finansowe, kod i konfiguracje, hasła, klucze i tokeny, dane powierzone przez klientów</w:t>
            </w:r>
          </w:p>
        </w:tc>
        <w:tc>
          <w:tcPr>
            <w:tcW w:w="3120" w:type="dxa"/>
          </w:tcPr>
          <w:p>
            <w:pPr>
              <w:spacing w:after="0"/>
            </w:pPr>
            <w:r>
              <w:rPr>
                <w:sz w:val="18"/>
                <w:szCs w:val="18"/>
              </w:rPr>
              <w:t xml:space="preserve">tylko narzędzie, które rejestr dopuszcza dla tej kategorii</w:t>
            </w:r>
          </w:p>
        </w:tc>
      </w:tr>
    </w:tbl>
    <w:p>
      <w:pPr>
        <w:spacing w:after="120"/>
      </w:pPr>
    </w:p>
    <w:p>
      <w:pPr>
        <w:pStyle w:val="Heading1"/>
      </w:pPr>
      <w:r>
        <w:t xml:space="preserve">Załącznik nr 3. Potwierdzenie zapoznania się</w:t>
      </w:r>
    </w:p>
    <w:p>
      <w:r>
        <w:t xml:space="preserve">Potwierdzam, że zapoznałem się / zapoznałam się z Polityką korzystania z narzędzi sztucznej inteligencji w </w:t>
      </w:r>
      <w:r>
        <w:rPr>
          <w:shd w:val="clear" w:color="auto" w:fill="DDEFD9"/>
        </w:rPr>
        <w:t xml:space="preserve">[nazwa firmy]</w:t>
      </w:r>
      <w:r>
        <w:t xml:space="preserve"> w wersji </w:t>
      </w:r>
      <w:r>
        <w:rPr>
          <w:shd w:val="clear" w:color="auto" w:fill="DDEFD9"/>
        </w:rPr>
        <w:t xml:space="preserve">[1.0]</w:t>
      </w:r>
      <w:r>
        <w:t xml:space="preserve"> i będę jej przestrzegać.</w:t>
      </w:r>
    </w:p>
    <w:p>
      <w:pPr>
        <w:spacing w:after="240"/>
      </w:pPr>
      <w:r>
        <w:t xml:space="preserve">Imię i nazwisko: ______________________________</w:t>
      </w:r>
    </w:p>
    <w:p>
      <w:pPr>
        <w:spacing w:after="240"/>
      </w:pPr>
      <w:r>
        <w:t xml:space="preserve">Data: ______________________________</w:t>
      </w:r>
    </w:p>
    <w:p>
      <w:pPr>
        <w:spacing w:after="240"/>
      </w:pPr>
      <w:r>
        <w:t xml:space="preserve">Podpis: ______________________________</w:t>
      </w:r>
    </w:p>
    <w:p>
      <w:pPr>
        <w:pStyle w:val="Heading1"/>
        <w:pageBreakBefore/>
      </w:pPr>
      <w:r>
        <w:t xml:space="preserve">Zasady pracy z AI w </w:t>
      </w:r>
      <w:r>
        <w:rPr>
          <w:shd w:val="clear" w:color="auto" w:fill="DDEFD9"/>
        </w:rPr>
        <w:t xml:space="preserve">[nazwa firmy]</w:t>
      </w:r>
    </w:p>
    <w:p>
      <w:pPr>
        <w:ind w:left="360" w:hanging="360"/>
      </w:pPr>
      <w:r>
        <w:t xml:space="preserve">1. Korzystaj z narzędzi z listy: </w:t>
      </w:r>
      <w:r>
        <w:rPr>
          <w:shd w:val="clear" w:color="auto" w:fill="DDEFD9"/>
        </w:rPr>
        <w:t xml:space="preserve">[link do rejestru]</w:t>
      </w:r>
      <w:r>
        <w:t xml:space="preserve">. Zawsze na koncie firmowym.</w:t>
      </w:r>
    </w:p>
    <w:p>
      <w:pPr>
        <w:ind w:left="360" w:hanging="360"/>
      </w:pPr>
      <w:r>
        <w:t xml:space="preserve">2. Nie wpisuj danych osobowych, umów, haseł ani danych klientów, chyba że lista wprost na to pozwala.</w:t>
      </w:r>
    </w:p>
    <w:p>
      <w:pPr>
        <w:ind w:left="360" w:hanging="360"/>
      </w:pPr>
      <w:r>
        <w:t xml:space="preserve">3. Sprawdź wynik, zanim wyjdzie do klienta. Liczby, nazwy i przepisy weryfikuj w źródle.</w:t>
      </w:r>
    </w:p>
    <w:p>
      <w:pPr>
        <w:ind w:left="360" w:hanging="360"/>
      </w:pPr>
      <w:r>
        <w:t xml:space="preserve">4. Za wysłany tekst odpowiadasz Ty. Narzędzie przygotowuje szkic.</w:t>
      </w:r>
    </w:p>
    <w:p>
      <w:pPr>
        <w:ind w:left="360" w:hanging="360"/>
      </w:pPr>
      <w:r>
        <w:t xml:space="preserve">5. AI w decyzjach o ludziach, takich jak rekrutacja czy ocena pracy, wymaga zgody </w:t>
      </w:r>
      <w:r>
        <w:rPr>
          <w:shd w:val="clear" w:color="auto" w:fill="DDEFD9"/>
        </w:rPr>
        <w:t xml:space="preserve">[osoba]</w:t>
      </w:r>
      <w:r>
        <w:t xml:space="preserve">.</w:t>
      </w:r>
    </w:p>
    <w:p>
      <w:pPr>
        <w:ind w:left="360" w:hanging="360"/>
      </w:pPr>
      <w:r>
        <w:t xml:space="preserve">6. Potrzebujesz nowego narzędzia? Napisz do </w:t>
      </w:r>
      <w:r>
        <w:rPr>
          <w:shd w:val="clear" w:color="auto" w:fill="DDEFD9"/>
        </w:rPr>
        <w:t xml:space="preserve">[osoba]</w:t>
      </w:r>
      <w:r>
        <w:t xml:space="preserve">. Odpowiedź dostaniesz w </w:t>
      </w:r>
      <w:r>
        <w:rPr>
          <w:shd w:val="clear" w:color="auto" w:fill="DDEFD9"/>
        </w:rPr>
        <w:t xml:space="preserve">[5]</w:t>
      </w:r>
      <w:r>
        <w:t xml:space="preserve"> dni roboczych.</w:t>
      </w:r>
    </w:p>
    <w:p>
      <w:pPr>
        <w:ind w:left="360" w:hanging="360"/>
      </w:pPr>
      <w:r>
        <w:t xml:space="preserve">7. Coś poszło nie tak? Zgłoś to od razu do </w:t>
      </w:r>
      <w:r>
        <w:rPr>
          <w:shd w:val="clear" w:color="auto" w:fill="DDEFD9"/>
        </w:rPr>
        <w:t xml:space="preserve">[osoba]</w:t>
      </w:r>
      <w:r>
        <w:t xml:space="preserve">. Za zgłoszenie nie ma kary.</w:t>
      </w:r>
    </w:p>
    <w:p>
      <w:r>
        <w:rPr>
          <w:i/>
          <w:color w:val="5A6270"/>
        </w:rPr>
        <w:t xml:space="preserve">Pytania: </w:t>
      </w:r>
      <w:r>
        <w:rPr>
          <w:i/>
          <w:color w:val="5A6270"/>
          <w:shd w:val="clear" w:color="auto" w:fill="DDEFD9"/>
        </w:rPr>
        <w:t xml:space="preserve">[osoba]</w:t>
      </w:r>
      <w:r>
        <w:rPr>
          <w:i/>
          <w:color w:val="5A6270"/>
        </w:rPr>
        <w:t xml:space="preserve">, </w:t>
      </w:r>
      <w:r>
        <w:rPr>
          <w:i/>
          <w:color w:val="5A6270"/>
          <w:shd w:val="clear" w:color="auto" w:fill="DDEFD9"/>
        </w:rPr>
        <w:t xml:space="preserve">[kontakt]</w:t>
      </w:r>
      <w:r>
        <w:rPr>
          <w:i/>
          <w:color w:val="5A6270"/>
        </w:rPr>
        <w:t xml:space="preserve">. Pełna polityka: </w:t>
      </w:r>
      <w:r>
        <w:rPr>
          <w:i/>
          <w:color w:val="5A6270"/>
          <w:shd w:val="clear" w:color="auto" w:fill="DDEFD9"/>
        </w:rPr>
        <w:t xml:space="preserve">[link]</w:t>
      </w:r>
      <w:r>
        <w:rPr>
          <w:i/>
          <w:color w:val="5A6270"/>
        </w:rPr>
        <w:t xml:space="preserve">.</w:t>
      </w:r>
    </w:p>
    <w:sectPr>
      <w:pgSz w:w="11906" w:h="16838"/>
      <w:pgMar w:top="1418" w:right="1276" w:bottom="1418" w:left="1276" w:header="709" w:footer="709" w:gutter="0"/>
    </w:sectPr>
  </w:body>
</w:document>
</file>

<file path=word/styles.xml><?xml version="1.0" encoding="utf-8"?>
<w:styles xmlns:w="http://schemas.openxmlformats.org/wordprocessingml/2006/main">
  <w:docDefaults>
    <w:rPrDefault>
      <w:rPr>
        <w:rFonts w:ascii="Arial" w:hAnsi="Arial" w:eastAsia="Arial" w:cs="Arial"/>
        <w:sz w:val="21"/>
        <w:szCs w:val="21"/>
        <w:lang w:val="pl-PL"/>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before="120" w:after="120"/>
    </w:pPr>
    <w:rPr>
      <w:b/>
      <w:sz w:val="36"/>
      <w:szCs w:val="36"/>
    </w:rPr>
  </w:style>
  <w:style w:type="paragraph" w:styleId="Heading1">
    <w:name w:val="heading 1"/>
    <w:basedOn w:val="Normal"/>
    <w:next w:val="Normal"/>
    <w:qFormat/>
    <w:pPr>
      <w:keepNext/>
      <w:spacing w:before="320" w:after="120"/>
      <w:outlineLvl w:val="0"/>
    </w:pPr>
    <w:rPr>
      <w:b/>
      <w:sz w:val="26"/>
      <w:szCs w:val="26"/>
    </w:rPr>
  </w:style>
  <w:style w:type="table" w:styleId="TableGrid">
    <w:name w:val="Table Grid"/>
    <w:tblPr>
      <w:tblBorders>
        <w:top w:val="single" w:sz="4" w:space="0" w:color="9AA1AA"/>
        <w:left w:val="single" w:sz="4" w:space="0" w:color="9AA1AA"/>
        <w:bottom w:val="single" w:sz="4" w:space="0" w:color="9AA1AA"/>
        <w:right w:val="single" w:sz="4" w:space="0" w:color="9AA1AA"/>
        <w:insideH w:val="single" w:sz="4" w:space="0" w:color="9AA1AA"/>
        <w:insideV w:val="single" w:sz="4" w:space="0" w:color="9AA1AA"/>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Wzór polityki korzystania z AI w firmie</dc:title>
  <dc:creator>Syntalith</dc:creator>
  <dc:language>pl-PL</dc:language>
  <dcterms:created xsi:type="dcterms:W3CDTF">2026-10-14T00:00:00Z</dcterms:created>
  <dcterms:modified xsi:type="dcterms:W3CDTF">2026-10-14T00:00:00Z</dcterms:modified>
</cp:coreProperties>
</file>